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24F08">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031E4ABA">
      <w:pPr>
        <w:keepNext w:val="0"/>
        <w:keepLines w:val="0"/>
        <w:pageBreakBefore w:val="0"/>
        <w:wordWrap/>
        <w:overflowPunct/>
        <w:topLinePunct w:val="0"/>
        <w:bidi w:val="0"/>
        <w:spacing w:line="640" w:lineRule="exact"/>
        <w:jc w:val="center"/>
        <w:outlineLvl w:val="0"/>
        <w:rPr>
          <w:rFonts w:hint="eastAsia" w:ascii="宋体" w:hAnsi="宋体" w:eastAsia="宋体" w:cs="宋体"/>
          <w:b/>
          <w:bCs/>
          <w:sz w:val="44"/>
          <w:szCs w:val="44"/>
          <w:lang w:val="en-US" w:eastAsia="zh-CN"/>
        </w:rPr>
      </w:pPr>
      <w:r>
        <w:rPr>
          <w:rFonts w:hint="eastAsia" w:ascii="宋体" w:hAnsi="宋体" w:eastAsia="宋体" w:cs="宋体"/>
          <w:b/>
          <w:bCs/>
          <w:snapToGrid w:val="0"/>
          <w:color w:val="000000"/>
          <w:spacing w:val="12"/>
          <w:kern w:val="0"/>
          <w:sz w:val="44"/>
          <w:szCs w:val="44"/>
          <w:lang w:val="en-US" w:eastAsia="zh-CN" w:bidi="ar-SA"/>
        </w:rPr>
        <w:t>天津国际电子商品交易有限公司</w:t>
      </w:r>
    </w:p>
    <w:p w14:paraId="21927323">
      <w:pPr>
        <w:keepNext w:val="0"/>
        <w:keepLines w:val="0"/>
        <w:pageBreakBefore w:val="0"/>
        <w:kinsoku w:val="0"/>
        <w:wordWrap/>
        <w:overflowPunct/>
        <w:topLinePunct w:val="0"/>
        <w:autoSpaceDE w:val="0"/>
        <w:autoSpaceDN w:val="0"/>
        <w:bidi w:val="0"/>
        <w:adjustRightInd w:val="0"/>
        <w:snapToGrid w:val="0"/>
        <w:spacing w:before="120" w:line="640" w:lineRule="exact"/>
        <w:ind w:left="2677" w:right="1357" w:hanging="790"/>
        <w:jc w:val="left"/>
        <w:textAlignment w:val="baseline"/>
        <w:outlineLvl w:val="0"/>
        <w:rPr>
          <w:rFonts w:hint="eastAsia" w:ascii="宋体" w:hAnsi="宋体" w:eastAsia="宋体" w:cs="宋体"/>
          <w:b/>
          <w:bCs/>
          <w:snapToGrid w:val="0"/>
          <w:color w:val="000000"/>
          <w:spacing w:val="38"/>
          <w:kern w:val="0"/>
          <w:sz w:val="44"/>
          <w:szCs w:val="44"/>
          <w:lang w:val="en-US" w:eastAsia="zh-CN" w:bidi="ar-SA"/>
        </w:rPr>
      </w:pPr>
      <w:r>
        <w:rPr>
          <w:rFonts w:hint="eastAsia" w:ascii="宋体" w:hAnsi="宋体" w:eastAsia="宋体" w:cs="宋体"/>
          <w:b/>
          <w:bCs/>
          <w:snapToGrid w:val="0"/>
          <w:color w:val="000000"/>
          <w:spacing w:val="12"/>
          <w:kern w:val="0"/>
          <w:sz w:val="44"/>
          <w:szCs w:val="44"/>
          <w:lang w:val="en-US" w:eastAsia="en-US" w:bidi="ar-SA"/>
        </w:rPr>
        <w:t xml:space="preserve"> </w:t>
      </w:r>
      <w:bookmarkStart w:id="0" w:name="_Toc24999"/>
      <w:r>
        <w:rPr>
          <w:rFonts w:hint="eastAsia" w:ascii="宋体" w:hAnsi="宋体" w:eastAsia="宋体" w:cs="宋体"/>
          <w:b/>
          <w:bCs/>
          <w:snapToGrid w:val="0"/>
          <w:color w:val="000000"/>
          <w:spacing w:val="38"/>
          <w:kern w:val="0"/>
          <w:sz w:val="44"/>
          <w:szCs w:val="44"/>
          <w:lang w:val="en-US" w:eastAsia="en-US" w:bidi="ar-SA"/>
        </w:rPr>
        <w:t>交收仓(厂)库管理办</w:t>
      </w:r>
      <w:r>
        <w:rPr>
          <w:rFonts w:hint="eastAsia" w:ascii="宋体" w:hAnsi="宋体" w:eastAsia="宋体" w:cs="宋体"/>
          <w:b/>
          <w:bCs/>
          <w:snapToGrid w:val="0"/>
          <w:color w:val="000000"/>
          <w:spacing w:val="38"/>
          <w:kern w:val="0"/>
          <w:sz w:val="44"/>
          <w:szCs w:val="44"/>
          <w:lang w:val="en-US" w:eastAsia="zh-CN" w:bidi="ar-SA"/>
        </w:rPr>
        <w:t>法</w:t>
      </w:r>
      <w:bookmarkEnd w:id="0"/>
    </w:p>
    <w:p w14:paraId="382AB0F3">
      <w:pPr>
        <w:jc w:val="center"/>
        <w:rPr>
          <w:rFonts w:hint="eastAsia" w:ascii="宋体" w:hAnsi="宋体" w:eastAsia="宋体" w:cs="宋体"/>
          <w:sz w:val="32"/>
          <w:szCs w:val="32"/>
          <w:lang w:val="en-US" w:eastAsia="en-US"/>
        </w:rPr>
      </w:pPr>
      <w:r>
        <w:rPr>
          <w:rFonts w:hint="eastAsia" w:ascii="宋体" w:hAnsi="宋体" w:eastAsia="宋体" w:cs="宋体"/>
          <w:sz w:val="32"/>
          <w:szCs w:val="32"/>
          <w:lang w:val="en-US" w:eastAsia="en-US"/>
        </w:rPr>
        <w:t>(</w:t>
      </w:r>
      <w:r>
        <w:rPr>
          <w:rFonts w:hint="eastAsia" w:ascii="宋体" w:hAnsi="宋体" w:eastAsia="宋体" w:cs="宋体"/>
          <w:sz w:val="32"/>
          <w:szCs w:val="32"/>
          <w:lang w:val="en-US" w:eastAsia="zh-CN"/>
        </w:rPr>
        <w:t>试</w:t>
      </w:r>
      <w:bookmarkStart w:id="9" w:name="_GoBack"/>
      <w:bookmarkEnd w:id="9"/>
      <w:r>
        <w:rPr>
          <w:rFonts w:hint="eastAsia" w:ascii="宋体" w:hAnsi="宋体" w:eastAsia="宋体" w:cs="宋体"/>
          <w:sz w:val="32"/>
          <w:szCs w:val="32"/>
          <w:lang w:val="en-US" w:eastAsia="en-US"/>
        </w:rPr>
        <w:t>行)</w:t>
      </w:r>
    </w:p>
    <w:p w14:paraId="4072F379">
      <w:pPr>
        <w:widowControl/>
        <w:kinsoku w:val="0"/>
        <w:autoSpaceDE w:val="0"/>
        <w:autoSpaceDN w:val="0"/>
        <w:adjustRightInd w:val="0"/>
        <w:snapToGrid w:val="0"/>
        <w:spacing w:line="312" w:lineRule="auto"/>
        <w:jc w:val="left"/>
        <w:textAlignment w:val="baseline"/>
        <w:rPr>
          <w:rFonts w:ascii="Arial" w:hAnsi="Arial" w:eastAsia="Arial" w:cs="Arial"/>
          <w:snapToGrid w:val="0"/>
          <w:color w:val="000000"/>
          <w:kern w:val="0"/>
          <w:sz w:val="21"/>
          <w:szCs w:val="21"/>
          <w:lang w:eastAsia="en-US"/>
        </w:rPr>
      </w:pPr>
    </w:p>
    <w:p w14:paraId="6D2F6B68">
      <w:pPr>
        <w:widowControl/>
        <w:kinsoku w:val="0"/>
        <w:autoSpaceDE w:val="0"/>
        <w:autoSpaceDN w:val="0"/>
        <w:adjustRightInd w:val="0"/>
        <w:snapToGrid w:val="0"/>
        <w:spacing w:line="313" w:lineRule="auto"/>
        <w:jc w:val="left"/>
        <w:textAlignment w:val="baseline"/>
        <w:rPr>
          <w:rFonts w:ascii="Arial" w:hAnsi="Arial" w:eastAsia="Arial" w:cs="Arial"/>
          <w:snapToGrid w:val="0"/>
          <w:color w:val="000000"/>
          <w:kern w:val="0"/>
          <w:sz w:val="21"/>
          <w:szCs w:val="21"/>
          <w:lang w:eastAsia="en-US"/>
        </w:rPr>
      </w:pPr>
    </w:p>
    <w:sdt>
      <w:sdtPr>
        <w:rPr>
          <w:rFonts w:ascii="宋体" w:hAnsi="宋体" w:eastAsia="宋体" w:cstheme="minorBidi"/>
          <w:kern w:val="2"/>
          <w:sz w:val="21"/>
          <w:szCs w:val="24"/>
          <w:lang w:val="en-US" w:eastAsia="zh-CN" w:bidi="ar-SA"/>
        </w:rPr>
        <w:id w:val="147476651"/>
        <w15:color w:val="DBDBDB"/>
        <w:docPartObj>
          <w:docPartGallery w:val="Table of Contents"/>
          <w:docPartUnique/>
        </w:docPartObj>
      </w:sdtPr>
      <w:sdtEndPr>
        <w:rPr>
          <w:rFonts w:hint="eastAsia" w:ascii="仿宋" w:hAnsi="仿宋" w:eastAsia="仿宋" w:cs="仿宋"/>
          <w:kern w:val="2"/>
          <w:sz w:val="21"/>
          <w:szCs w:val="24"/>
          <w:lang w:val="en-US" w:eastAsia="zh-CN" w:bidi="ar-SA"/>
        </w:rPr>
      </w:sdtEndPr>
      <w:sdtContent>
        <w:p w14:paraId="758FA3E3">
          <w:pPr>
            <w:spacing w:before="0" w:beforeLines="0" w:after="0" w:afterLines="0" w:line="240" w:lineRule="auto"/>
            <w:ind w:left="0" w:leftChars="0" w:right="0" w:rightChars="0" w:firstLine="0" w:firstLineChars="0"/>
            <w:jc w:val="center"/>
          </w:pPr>
        </w:p>
        <w:p w14:paraId="25984ADD">
          <w:pPr>
            <w:pStyle w:val="6"/>
            <w:tabs>
              <w:tab w:val="right" w:leader="dot" w:pos="8844"/>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_Toc9001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一章</w:t>
          </w:r>
          <w:r>
            <w:rPr>
              <w:rFonts w:hint="eastAsia" w:ascii="仿宋" w:hAnsi="仿宋" w:eastAsia="仿宋" w:cs="仿宋"/>
              <w:sz w:val="28"/>
              <w:szCs w:val="28"/>
            </w:rPr>
            <w:t xml:space="preserve"> 总 则</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2</w:t>
          </w:r>
        </w:p>
        <w:p w14:paraId="1762AEC0">
          <w:pPr>
            <w:pStyle w:val="6"/>
            <w:tabs>
              <w:tab w:val="right" w:leader="dot" w:pos="8844"/>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_Toc3638 </w:instrText>
          </w:r>
          <w:r>
            <w:rPr>
              <w:rFonts w:hint="eastAsia" w:ascii="仿宋" w:hAnsi="仿宋" w:eastAsia="仿宋" w:cs="仿宋"/>
              <w:sz w:val="28"/>
              <w:szCs w:val="28"/>
            </w:rPr>
            <w:fldChar w:fldCharType="separate"/>
          </w:r>
          <w:r>
            <w:rPr>
              <w:rFonts w:hint="eastAsia" w:ascii="仿宋" w:hAnsi="仿宋" w:eastAsia="仿宋" w:cs="仿宋"/>
              <w:kern w:val="2"/>
              <w:sz w:val="28"/>
              <w:szCs w:val="28"/>
              <w:lang w:val="en-US" w:eastAsia="zh-CN" w:bidi="ar-SA"/>
            </w:rPr>
            <w:t>第二章</w:t>
          </w:r>
          <w:r>
            <w:rPr>
              <w:rFonts w:hint="eastAsia" w:ascii="仿宋" w:hAnsi="仿宋" w:eastAsia="仿宋" w:cs="仿宋"/>
              <w:sz w:val="28"/>
              <w:szCs w:val="28"/>
            </w:rPr>
            <w:t xml:space="preserve"> 设立交收仓(厂)库的程序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_Toc3638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388230C">
          <w:pPr>
            <w:pStyle w:val="6"/>
            <w:tabs>
              <w:tab w:val="right" w:leader="dot" w:pos="8844"/>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_Toc25732 </w:instrText>
          </w:r>
          <w:r>
            <w:rPr>
              <w:rFonts w:hint="eastAsia" w:ascii="仿宋" w:hAnsi="仿宋" w:eastAsia="仿宋" w:cs="仿宋"/>
              <w:sz w:val="28"/>
              <w:szCs w:val="28"/>
            </w:rPr>
            <w:fldChar w:fldCharType="separate"/>
          </w:r>
          <w:r>
            <w:rPr>
              <w:rFonts w:hint="eastAsia" w:ascii="仿宋" w:hAnsi="仿宋" w:eastAsia="仿宋" w:cs="仿宋"/>
              <w:kern w:val="2"/>
              <w:sz w:val="28"/>
              <w:szCs w:val="28"/>
              <w:lang w:val="en-US" w:eastAsia="zh-CN" w:bidi="ar-SA"/>
            </w:rPr>
            <w:t>第三章</w:t>
          </w:r>
          <w:r>
            <w:rPr>
              <w:rFonts w:hint="eastAsia" w:ascii="仿宋" w:hAnsi="仿宋" w:eastAsia="仿宋" w:cs="仿宋"/>
              <w:sz w:val="28"/>
              <w:szCs w:val="28"/>
            </w:rPr>
            <w:t xml:space="preserve"> 权利与义务</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_Toc25732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8D40CD0">
          <w:pPr>
            <w:pStyle w:val="6"/>
            <w:tabs>
              <w:tab w:val="right" w:leader="dot" w:pos="8844"/>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_Toc26795 </w:instrText>
          </w:r>
          <w:r>
            <w:rPr>
              <w:rFonts w:hint="eastAsia" w:ascii="仿宋" w:hAnsi="仿宋" w:eastAsia="仿宋" w:cs="仿宋"/>
              <w:sz w:val="28"/>
              <w:szCs w:val="28"/>
            </w:rPr>
            <w:fldChar w:fldCharType="separate"/>
          </w:r>
          <w:r>
            <w:rPr>
              <w:rFonts w:hint="eastAsia" w:ascii="仿宋" w:hAnsi="仿宋" w:eastAsia="仿宋" w:cs="仿宋"/>
              <w:kern w:val="2"/>
              <w:sz w:val="28"/>
              <w:szCs w:val="28"/>
              <w:lang w:val="en-US" w:eastAsia="zh-CN" w:bidi="ar-SA"/>
            </w:rPr>
            <w:t xml:space="preserve">第四章 </w:t>
          </w:r>
          <w:r>
            <w:rPr>
              <w:rFonts w:hint="eastAsia" w:ascii="仿宋" w:hAnsi="仿宋" w:eastAsia="仿宋" w:cs="仿宋"/>
              <w:sz w:val="28"/>
              <w:szCs w:val="28"/>
            </w:rPr>
            <w:t>商品入库、保管、出库</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_Toc26795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137C2ED">
          <w:pPr>
            <w:pStyle w:val="6"/>
            <w:tabs>
              <w:tab w:val="right" w:leader="dot" w:pos="8844"/>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_Toc7856 </w:instrText>
          </w:r>
          <w:r>
            <w:rPr>
              <w:rFonts w:hint="eastAsia" w:ascii="仿宋" w:hAnsi="仿宋" w:eastAsia="仿宋" w:cs="仿宋"/>
              <w:sz w:val="28"/>
              <w:szCs w:val="28"/>
            </w:rPr>
            <w:fldChar w:fldCharType="separate"/>
          </w:r>
          <w:r>
            <w:rPr>
              <w:rFonts w:hint="eastAsia" w:ascii="仿宋" w:hAnsi="仿宋" w:eastAsia="仿宋" w:cs="仿宋"/>
              <w:kern w:val="2"/>
              <w:sz w:val="28"/>
              <w:szCs w:val="28"/>
              <w:lang w:val="en-US" w:eastAsia="zh-CN" w:bidi="ar-SA"/>
            </w:rPr>
            <w:t>第五章</w:t>
          </w:r>
          <w:r>
            <w:rPr>
              <w:rFonts w:hint="eastAsia" w:ascii="仿宋" w:hAnsi="仿宋" w:eastAsia="仿宋" w:cs="仿宋"/>
              <w:sz w:val="28"/>
              <w:szCs w:val="28"/>
            </w:rPr>
            <w:t xml:space="preserve"> 费用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_Toc7856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B7685E6">
          <w:pPr>
            <w:pStyle w:val="6"/>
            <w:tabs>
              <w:tab w:val="right" w:leader="dot" w:pos="8844"/>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_Toc28197 </w:instrText>
          </w:r>
          <w:r>
            <w:rPr>
              <w:rFonts w:hint="eastAsia" w:ascii="仿宋" w:hAnsi="仿宋" w:eastAsia="仿宋" w:cs="仿宋"/>
              <w:sz w:val="28"/>
              <w:szCs w:val="28"/>
            </w:rPr>
            <w:fldChar w:fldCharType="separate"/>
          </w:r>
          <w:r>
            <w:rPr>
              <w:rFonts w:hint="eastAsia" w:ascii="仿宋" w:hAnsi="仿宋" w:eastAsia="仿宋" w:cs="仿宋"/>
              <w:kern w:val="2"/>
              <w:sz w:val="28"/>
              <w:szCs w:val="28"/>
              <w:lang w:val="en-US" w:eastAsia="zh-CN" w:bidi="ar-SA"/>
            </w:rPr>
            <w:t>第六章</w:t>
          </w:r>
          <w:r>
            <w:rPr>
              <w:rFonts w:hint="eastAsia" w:ascii="仿宋" w:hAnsi="仿宋" w:eastAsia="仿宋" w:cs="仿宋"/>
              <w:sz w:val="28"/>
              <w:szCs w:val="28"/>
            </w:rPr>
            <w:t xml:space="preserve"> 争议处理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_Toc28197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E675DB6">
          <w:pPr>
            <w:pStyle w:val="6"/>
            <w:tabs>
              <w:tab w:val="right" w:leader="dot" w:pos="8844"/>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_Toc16489 </w:instrText>
          </w:r>
          <w:r>
            <w:rPr>
              <w:rFonts w:hint="eastAsia" w:ascii="仿宋" w:hAnsi="仿宋" w:eastAsia="仿宋" w:cs="仿宋"/>
              <w:sz w:val="28"/>
              <w:szCs w:val="28"/>
            </w:rPr>
            <w:fldChar w:fldCharType="separate"/>
          </w:r>
          <w:r>
            <w:rPr>
              <w:rFonts w:hint="eastAsia" w:ascii="仿宋" w:hAnsi="仿宋" w:eastAsia="仿宋" w:cs="仿宋"/>
              <w:kern w:val="2"/>
              <w:sz w:val="28"/>
              <w:szCs w:val="28"/>
              <w:lang w:val="en-US" w:eastAsia="zh-CN" w:bidi="ar-SA"/>
            </w:rPr>
            <w:t xml:space="preserve">第七章 </w:t>
          </w:r>
          <w:r>
            <w:rPr>
              <w:rFonts w:hint="eastAsia" w:ascii="仿宋" w:hAnsi="仿宋" w:eastAsia="仿宋" w:cs="仿宋"/>
              <w:sz w:val="28"/>
              <w:szCs w:val="28"/>
            </w:rPr>
            <w:t>违规与处罚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_Toc16489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55F15A9">
          <w:pPr>
            <w:pStyle w:val="6"/>
            <w:tabs>
              <w:tab w:val="right" w:leader="dot" w:pos="8844"/>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_Toc2078 </w:instrText>
          </w:r>
          <w:r>
            <w:rPr>
              <w:rFonts w:hint="eastAsia" w:ascii="仿宋" w:hAnsi="仿宋" w:eastAsia="仿宋" w:cs="仿宋"/>
              <w:sz w:val="28"/>
              <w:szCs w:val="28"/>
            </w:rPr>
            <w:fldChar w:fldCharType="separate"/>
          </w:r>
          <w:r>
            <w:rPr>
              <w:rFonts w:hint="eastAsia" w:ascii="仿宋" w:hAnsi="仿宋" w:eastAsia="仿宋" w:cs="仿宋"/>
              <w:kern w:val="2"/>
              <w:sz w:val="28"/>
              <w:szCs w:val="28"/>
              <w:lang w:val="en-US" w:eastAsia="zh-CN" w:bidi="ar-SA"/>
            </w:rPr>
            <w:t xml:space="preserve">第八章 </w:t>
          </w:r>
          <w:r>
            <w:rPr>
              <w:rFonts w:hint="eastAsia" w:ascii="仿宋" w:hAnsi="仿宋" w:eastAsia="仿宋" w:cs="仿宋"/>
              <w:sz w:val="28"/>
              <w:szCs w:val="28"/>
            </w:rPr>
            <w:t>附则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_Toc2078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09C909D">
          <w:pPr>
            <w:spacing w:line="222" w:lineRule="auto"/>
            <w:rPr>
              <w:rFonts w:hint="eastAsia" w:ascii="仿宋" w:hAnsi="仿宋" w:eastAsia="仿宋" w:cs="仿宋"/>
              <w:sz w:val="24"/>
              <w:szCs w:val="24"/>
            </w:rPr>
            <w:sectPr>
              <w:footerReference r:id="rId3" w:type="default"/>
              <w:pgSz w:w="11905" w:h="16838"/>
              <w:pgMar w:top="2098" w:right="1474" w:bottom="1984" w:left="1587" w:header="850" w:footer="992" w:gutter="0"/>
              <w:pgNumType w:fmt="decimal"/>
              <w:cols w:space="0" w:num="1"/>
              <w:rtlGutter w:val="0"/>
              <w:docGrid w:type="lines" w:linePitch="319" w:charSpace="0"/>
            </w:sectPr>
          </w:pPr>
          <w:r>
            <w:rPr>
              <w:rFonts w:hint="eastAsia" w:ascii="仿宋" w:hAnsi="仿宋" w:eastAsia="仿宋" w:cs="仿宋"/>
              <w:sz w:val="28"/>
              <w:szCs w:val="28"/>
            </w:rPr>
            <w:fldChar w:fldCharType="end"/>
          </w:r>
        </w:p>
      </w:sdtContent>
    </w:sdt>
    <w:p w14:paraId="640A6A7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1" w:name="_Toc9001"/>
      <w:r>
        <w:rPr>
          <w:rFonts w:hint="eastAsia" w:ascii="黑体" w:hAnsi="黑体" w:eastAsia="黑体" w:cs="黑体"/>
          <w:sz w:val="32"/>
          <w:szCs w:val="32"/>
        </w:rPr>
        <w:t>第 一 章  总 则</w:t>
      </w:r>
      <w:bookmarkEnd w:id="1"/>
    </w:p>
    <w:p w14:paraId="18B236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4E971A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第一条</w:t>
      </w:r>
      <w:r>
        <w:rPr>
          <w:rFonts w:hint="eastAsia" w:ascii="仿宋" w:hAnsi="仿宋" w:eastAsia="仿宋" w:cs="仿宋"/>
          <w:sz w:val="32"/>
          <w:szCs w:val="32"/>
        </w:rPr>
        <w:t xml:space="preserve"> 为了加强</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(以下简称 “交易所”)交收仓(厂)库的管理，规范商品存储及交收行为，保证商品交收正常进行，根据国家和地方相关法律、法规、政策，以及交易所有关规定制定本办法。</w:t>
      </w:r>
    </w:p>
    <w:p w14:paraId="277F29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第二条</w:t>
      </w:r>
      <w:r>
        <w:rPr>
          <w:rFonts w:hint="eastAsia" w:ascii="仿宋" w:hAnsi="仿宋" w:eastAsia="仿宋" w:cs="仿宋"/>
          <w:b/>
          <w:bCs/>
          <w:sz w:val="32"/>
          <w:szCs w:val="32"/>
        </w:rPr>
        <w:t xml:space="preserve"> </w:t>
      </w:r>
      <w:r>
        <w:rPr>
          <w:rFonts w:hint="eastAsia" w:ascii="仿宋" w:hAnsi="仿宋" w:eastAsia="仿宋" w:cs="仿宋"/>
          <w:sz w:val="32"/>
          <w:szCs w:val="32"/>
        </w:rPr>
        <w:t>交易所指定交收仓(厂)库(以下简称“交收仓(厂) 库”)是经交易所认定的，获得交易市场现货服务商资格，为满足交 易平台及其他市场参与企业合同履行的需要而提供商品仓储和交收服务的企业。</w:t>
      </w:r>
    </w:p>
    <w:p w14:paraId="16268A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第三条</w:t>
      </w:r>
      <w:r>
        <w:rPr>
          <w:rFonts w:hint="eastAsia" w:ascii="仿宋" w:hAnsi="仿宋" w:eastAsia="仿宋" w:cs="仿宋"/>
          <w:sz w:val="32"/>
          <w:szCs w:val="32"/>
        </w:rPr>
        <w:t xml:space="preserve"> 交收仓(厂)库包括提供仓储和交收服务的交易所自有或控股仓库、第三方仓储企业和提供仓储和交收服务的生产企业的厂库。</w:t>
      </w:r>
    </w:p>
    <w:p w14:paraId="26C021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第四条</w:t>
      </w:r>
      <w:r>
        <w:rPr>
          <w:rFonts w:hint="eastAsia" w:ascii="仿宋" w:hAnsi="仿宋" w:eastAsia="仿宋" w:cs="仿宋"/>
          <w:sz w:val="32"/>
          <w:szCs w:val="32"/>
        </w:rPr>
        <w:t xml:space="preserve"> 交易所根据本办法对指定交收仓(厂)库进行监督管理。各市场参与企业及有关工作人员，应当遵守本办法。</w:t>
      </w:r>
    </w:p>
    <w:p w14:paraId="3C78D1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1C7E2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2" w:name="_Toc3638"/>
      <w:r>
        <w:rPr>
          <w:rFonts w:hint="eastAsia" w:ascii="黑体" w:hAnsi="黑体" w:eastAsia="黑体" w:cs="黑体"/>
          <w:kern w:val="2"/>
          <w:sz w:val="32"/>
          <w:szCs w:val="32"/>
          <w:lang w:val="en-US" w:eastAsia="zh-CN" w:bidi="ar-SA"/>
        </w:rPr>
        <w:t>第二章</w:t>
      </w:r>
      <w:r>
        <w:rPr>
          <w:rFonts w:hint="eastAsia" w:ascii="黑体" w:hAnsi="黑体" w:eastAsia="黑体" w:cs="黑体"/>
          <w:sz w:val="32"/>
          <w:szCs w:val="32"/>
        </w:rPr>
        <w:t xml:space="preserve"> 设立交收仓(厂)库的程序</w:t>
      </w:r>
      <w:bookmarkEnd w:id="2"/>
    </w:p>
    <w:p w14:paraId="725FDC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14:paraId="2C6ACD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第五条</w:t>
      </w:r>
      <w:r>
        <w:rPr>
          <w:rFonts w:hint="eastAsia" w:ascii="仿宋" w:hAnsi="仿宋" w:eastAsia="仿宋" w:cs="仿宋"/>
          <w:sz w:val="32"/>
          <w:szCs w:val="32"/>
        </w:rPr>
        <w:t xml:space="preserve"> 申请成为交收仓(厂)库除了必须按《</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市场参与企业管理办法》规定满足成为交易所市场参与者的基本条件外，还应具备以下条件：</w:t>
      </w:r>
    </w:p>
    <w:p w14:paraId="5AB1E170">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1.具有合法合规的仓储业务经营资质；</w:t>
      </w:r>
    </w:p>
    <w:p w14:paraId="0AFAA648">
      <w:pPr>
        <w:keepNext w:val="0"/>
        <w:keepLines w:val="0"/>
        <w:pageBreakBefore w:val="0"/>
        <w:widowControl w:val="0"/>
        <w:kinsoku/>
        <w:wordWrap/>
        <w:overflowPunct/>
        <w:topLinePunct w:val="0"/>
        <w:autoSpaceDE/>
        <w:autoSpaceDN/>
        <w:bidi w:val="0"/>
        <w:adjustRightInd/>
        <w:snapToGrid/>
        <w:spacing w:line="560" w:lineRule="exact"/>
        <w:ind w:left="638" w:leftChars="304" w:right="420" w:rightChars="20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2.具有良好的商业信誉，财务状况良好，具有较强的抗风险能力；</w:t>
      </w:r>
    </w:p>
    <w:p w14:paraId="2130D8BD">
      <w:pPr>
        <w:keepNext w:val="0"/>
        <w:keepLines w:val="0"/>
        <w:pageBreakBefore w:val="0"/>
        <w:widowControl w:val="0"/>
        <w:kinsoku/>
        <w:wordWrap/>
        <w:overflowPunct/>
        <w:topLinePunct w:val="0"/>
        <w:autoSpaceDE/>
        <w:autoSpaceDN/>
        <w:bidi w:val="0"/>
        <w:adjustRightInd/>
        <w:snapToGrid/>
        <w:spacing w:line="560" w:lineRule="exact"/>
        <w:ind w:left="638" w:leftChars="304" w:right="420" w:rightChars="20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3.库容量达到交易所规定的要求，有较好的储运条件和完备的硬件设施，计量符合国家规定要求；</w:t>
      </w:r>
    </w:p>
    <w:p w14:paraId="28C7917A">
      <w:pPr>
        <w:keepNext w:val="0"/>
        <w:keepLines w:val="0"/>
        <w:pageBreakBefore w:val="0"/>
        <w:widowControl w:val="0"/>
        <w:kinsoku/>
        <w:wordWrap/>
        <w:overflowPunct/>
        <w:topLinePunct w:val="0"/>
        <w:autoSpaceDE/>
        <w:autoSpaceDN/>
        <w:bidi w:val="0"/>
        <w:adjustRightInd/>
        <w:snapToGrid/>
        <w:spacing w:line="560" w:lineRule="exact"/>
        <w:ind w:left="638" w:leftChars="304" w:right="420" w:rightChars="20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4.具有完善的仓储管理、检测化验、质量管理、商品出入库、库存商品管理等制度；</w:t>
      </w:r>
    </w:p>
    <w:p w14:paraId="7D1EE5D8">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5.地理位置优越、交通便利，中转、进出装卸能力较强；</w:t>
      </w:r>
    </w:p>
    <w:p w14:paraId="6CF21078">
      <w:pPr>
        <w:keepNext w:val="0"/>
        <w:keepLines w:val="0"/>
        <w:pageBreakBefore w:val="0"/>
        <w:widowControl w:val="0"/>
        <w:kinsoku/>
        <w:wordWrap/>
        <w:overflowPunct/>
        <w:topLinePunct w:val="0"/>
        <w:autoSpaceDE/>
        <w:autoSpaceDN/>
        <w:bidi w:val="0"/>
        <w:adjustRightInd/>
        <w:snapToGrid/>
        <w:spacing w:line="560" w:lineRule="exact"/>
        <w:ind w:left="638" w:leftChars="304" w:right="420" w:rightChars="20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6.具备使用交易所交易平台的能力，能实时准确地反映保管商品的动态情况；</w:t>
      </w:r>
    </w:p>
    <w:p w14:paraId="1273BC50">
      <w:pPr>
        <w:keepNext w:val="0"/>
        <w:keepLines w:val="0"/>
        <w:pageBreakBefore w:val="0"/>
        <w:widowControl w:val="0"/>
        <w:kinsoku/>
        <w:wordWrap/>
        <w:overflowPunct/>
        <w:topLinePunct w:val="0"/>
        <w:autoSpaceDE/>
        <w:autoSpaceDN/>
        <w:bidi w:val="0"/>
        <w:adjustRightInd/>
        <w:snapToGrid/>
        <w:spacing w:line="560" w:lineRule="exact"/>
        <w:ind w:left="638" w:leftChars="304" w:right="420" w:rightChars="20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7.具备完善的仓储管理系统，并能够提供与交易所交易系统平台对接的接口；</w:t>
      </w:r>
    </w:p>
    <w:p w14:paraId="7FE3EE60">
      <w:pPr>
        <w:keepNext w:val="0"/>
        <w:keepLines w:val="0"/>
        <w:pageBreakBefore w:val="0"/>
        <w:widowControl w:val="0"/>
        <w:kinsoku/>
        <w:wordWrap/>
        <w:overflowPunct/>
        <w:topLinePunct w:val="0"/>
        <w:autoSpaceDE/>
        <w:autoSpaceDN/>
        <w:bidi w:val="0"/>
        <w:adjustRightInd/>
        <w:snapToGrid/>
        <w:spacing w:line="560" w:lineRule="exact"/>
        <w:ind w:left="638" w:leftChars="304" w:right="420" w:rightChars="20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8.近三年内无违法违规记录且无被取消交收仓(厂)库资格的记录；</w:t>
      </w:r>
    </w:p>
    <w:p w14:paraId="5252408A">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9.接受交易所的监督管理；</w:t>
      </w:r>
    </w:p>
    <w:p w14:paraId="455CA21B">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eastAsia="zh-CN"/>
        </w:rPr>
        <w:t>.</w:t>
      </w:r>
      <w:r>
        <w:rPr>
          <w:rFonts w:hint="eastAsia" w:ascii="仿宋" w:hAnsi="仿宋" w:eastAsia="仿宋" w:cs="仿宋"/>
          <w:sz w:val="32"/>
          <w:szCs w:val="32"/>
        </w:rPr>
        <w:t>交易所要求的其他条件。</w:t>
      </w:r>
    </w:p>
    <w:p w14:paraId="0A87C8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 xml:space="preserve">第六条 </w:t>
      </w:r>
      <w:r>
        <w:rPr>
          <w:rFonts w:hint="eastAsia" w:ascii="仿宋" w:hAnsi="仿宋" w:eastAsia="仿宋" w:cs="仿宋"/>
          <w:sz w:val="32"/>
          <w:szCs w:val="32"/>
        </w:rPr>
        <w:t>交收仓(厂)库资格的获取：</w:t>
      </w:r>
    </w:p>
    <w:p w14:paraId="5772BA12">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1.提交资料，成为交易所交收仓(厂)库，除了须按照《</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市场参与企业管理办法》提交成为市场参与企业所需的基础文件外，还应提供如下文件：</w:t>
      </w:r>
    </w:p>
    <w:p w14:paraId="4267A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1)仓库管理相关制度及仓储各项业务费用标准；</w:t>
      </w:r>
    </w:p>
    <w:p w14:paraId="1F8C31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2)仓库简介(仓储条件、库容详细说明及仓储地图等);</w:t>
      </w:r>
    </w:p>
    <w:p w14:paraId="6C02A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3)土地使用证复印件及相关文件，租赁场房经营的，应提供</w:t>
      </w:r>
      <w:r>
        <w:rPr>
          <w:rFonts w:hint="eastAsia" w:ascii="仿宋" w:hAnsi="仿宋" w:eastAsia="仿宋" w:cs="仿宋"/>
          <w:sz w:val="32"/>
          <w:szCs w:val="32"/>
          <w:lang w:val="en-US" w:eastAsia="zh-CN"/>
        </w:rPr>
        <w:t xml:space="preserve">      </w:t>
      </w:r>
    </w:p>
    <w:p w14:paraId="3E0A41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与</w:t>
      </w:r>
      <w:r>
        <w:rPr>
          <w:rFonts w:hint="eastAsia" w:ascii="仿宋" w:hAnsi="仿宋" w:eastAsia="仿宋" w:cs="仿宋"/>
          <w:sz w:val="32"/>
          <w:szCs w:val="32"/>
        </w:rPr>
        <w:t>场房所有者之间的租赁合同(协议)等文件；</w:t>
      </w:r>
    </w:p>
    <w:p w14:paraId="0AFD00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4)交易所要求提供的其他文件。</w:t>
      </w:r>
    </w:p>
    <w:p w14:paraId="5F66B3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2.交易所审批：</w:t>
      </w:r>
    </w:p>
    <w:p w14:paraId="0DD672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1)交易所依照上述材料进行初审；</w:t>
      </w:r>
    </w:p>
    <w:p w14:paraId="7883C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2)交易所依照初审结果对申请单位进行实地调查；</w:t>
      </w:r>
    </w:p>
    <w:p w14:paraId="35C1F3D4">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3)交易所各相关业务部门根据提交材料以及实地调查结果共同对仓库进行综合评估并出具审核评定结果；</w:t>
      </w:r>
    </w:p>
    <w:p w14:paraId="7CFD40B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4)根据评估的最终结果向申请仓库出具是否审批通过或不通过的回执，未通过的需要在规定期限内进一步补充材料并提交交易所审核。</w:t>
      </w:r>
    </w:p>
    <w:p w14:paraId="4AD4E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3.签署协议：</w:t>
      </w:r>
    </w:p>
    <w:p w14:paraId="004F1EC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1)审批通过的仓库与交易所签署《</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市场参与企业合作协议》;</w:t>
      </w:r>
    </w:p>
    <w:p w14:paraId="7762438C">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2)根据市场参与企业申请开通的业务权限，提交加盖机构公 章并经法定代表人签字的《</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交易平台业务开通申请表》;</w:t>
      </w:r>
    </w:p>
    <w:p w14:paraId="4DB14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3)交易所公示后正式启用。</w:t>
      </w:r>
    </w:p>
    <w:p w14:paraId="53F020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第七条</w:t>
      </w:r>
      <w:r>
        <w:rPr>
          <w:rFonts w:hint="eastAsia" w:ascii="仿宋" w:hAnsi="仿宋" w:eastAsia="仿宋" w:cs="仿宋"/>
          <w:sz w:val="32"/>
          <w:szCs w:val="32"/>
        </w:rPr>
        <w:t xml:space="preserve"> 仓储企业成为交收仓(厂)库后须办理以下事宜：</w:t>
      </w:r>
    </w:p>
    <w:p w14:paraId="28F280F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1.交收仓(厂)库办理交收业务所需各种印章须到交易所备案；</w:t>
      </w:r>
    </w:p>
    <w:p w14:paraId="1A0AAF8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2.交收仓(厂)库对现货交收业务专人授权书及专人签字须到交易所备案；</w:t>
      </w:r>
    </w:p>
    <w:p w14:paraId="32BA4A04">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3.交收仓(厂)库根据《</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交 收管理办法》和《</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可信电子仓单管理办法》等相关规章制度，制定相应的操作规程或办法，方可开展交收业务；</w:t>
      </w:r>
    </w:p>
    <w:p w14:paraId="0BC1B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4.交收仓(厂)库管理人员必须接受交易所</w:t>
      </w:r>
      <w:r>
        <w:rPr>
          <w:rFonts w:hint="eastAsia" w:ascii="仿宋" w:hAnsi="仿宋" w:eastAsia="仿宋" w:cs="仿宋"/>
          <w:sz w:val="32"/>
          <w:szCs w:val="32"/>
          <w:lang w:val="en-US" w:eastAsia="zh-CN"/>
        </w:rPr>
        <w:t>交</w:t>
      </w:r>
      <w:r>
        <w:rPr>
          <w:rFonts w:hint="eastAsia" w:ascii="仿宋" w:hAnsi="仿宋" w:eastAsia="仿宋" w:cs="仿宋"/>
          <w:sz w:val="32"/>
          <w:szCs w:val="32"/>
        </w:rPr>
        <w:t>收业务培训；</w:t>
      </w:r>
    </w:p>
    <w:p w14:paraId="7AA30B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5.交易所规定的其他事宜。</w:t>
      </w:r>
    </w:p>
    <w:p w14:paraId="5ED4F8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第八条</w:t>
      </w:r>
      <w:r>
        <w:rPr>
          <w:rFonts w:hint="eastAsia" w:ascii="仿宋" w:hAnsi="仿宋" w:eastAsia="仿宋" w:cs="仿宋"/>
          <w:sz w:val="32"/>
          <w:szCs w:val="32"/>
        </w:rPr>
        <w:t xml:space="preserve"> 交收仓(厂)库放弃交收仓(厂)库资格的，应提前三个月向交易所递交书面申请，并经交易所审核批准。</w:t>
      </w:r>
    </w:p>
    <w:p w14:paraId="0BF28D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第九条</w:t>
      </w:r>
      <w:r>
        <w:rPr>
          <w:rFonts w:hint="eastAsia" w:ascii="仿宋" w:hAnsi="仿宋" w:eastAsia="仿宋" w:cs="仿宋"/>
          <w:sz w:val="32"/>
          <w:szCs w:val="32"/>
        </w:rPr>
        <w:t xml:space="preserve"> 交收仓(厂)库放弃或被取消资格的，应按交易所相关业务规定继续履行权利和义务，直至交易所审核批准资格终止日。在此期间应办理以下事项：</w:t>
      </w:r>
    </w:p>
    <w:p w14:paraId="5878B4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1.继续履行进行中的交收业务直至完结；</w:t>
      </w:r>
    </w:p>
    <w:p w14:paraId="70D2F676">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2.停止交易所交收商品注册可信电子仓单，配合货主注销已注册可信电子仓单；</w:t>
      </w:r>
    </w:p>
    <w:p w14:paraId="6E2CC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3.结清与交易所的债权债务；</w:t>
      </w:r>
    </w:p>
    <w:p w14:paraId="0264CB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4.交易所规定的其他应尽事宜。</w:t>
      </w:r>
    </w:p>
    <w:p w14:paraId="29DBF4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第十条</w:t>
      </w:r>
      <w:r>
        <w:rPr>
          <w:rFonts w:hint="eastAsia" w:ascii="仿宋" w:hAnsi="仿宋" w:eastAsia="仿宋" w:cs="仿宋"/>
          <w:sz w:val="32"/>
          <w:szCs w:val="32"/>
        </w:rPr>
        <w:t xml:space="preserve"> 交收仓(厂)库资格的确认、放弃或取消，交易所及时通过官方渠道进行公告。</w:t>
      </w:r>
    </w:p>
    <w:p w14:paraId="64A489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01FF0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bookmarkStart w:id="3" w:name="_Toc25732"/>
      <w:r>
        <w:rPr>
          <w:rFonts w:hint="eastAsia" w:ascii="黑体" w:hAnsi="黑体" w:eastAsia="黑体" w:cs="黑体"/>
          <w:kern w:val="2"/>
          <w:sz w:val="32"/>
          <w:szCs w:val="32"/>
          <w:lang w:val="en-US" w:eastAsia="zh-CN" w:bidi="ar-SA"/>
        </w:rPr>
        <w:t>第三章</w:t>
      </w:r>
      <w:r>
        <w:rPr>
          <w:rFonts w:hint="eastAsia" w:ascii="黑体" w:hAnsi="黑体" w:eastAsia="黑体" w:cs="黑体"/>
          <w:sz w:val="32"/>
          <w:szCs w:val="32"/>
        </w:rPr>
        <w:t xml:space="preserve"> 权利与义务</w:t>
      </w:r>
      <w:bookmarkEnd w:id="3"/>
    </w:p>
    <w:p w14:paraId="0561CA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20CA66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第十一条</w:t>
      </w:r>
      <w:r>
        <w:rPr>
          <w:rFonts w:hint="eastAsia" w:ascii="仿宋" w:hAnsi="仿宋" w:eastAsia="仿宋" w:cs="仿宋"/>
          <w:sz w:val="32"/>
          <w:szCs w:val="32"/>
        </w:rPr>
        <w:t xml:space="preserve"> 交收仓(厂)库可享有的权利：</w:t>
      </w:r>
    </w:p>
    <w:p w14:paraId="11E0D9DC">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1.有权按交易所核准的收费项目向货主收取仓储费及出入库费用和其他费用；</w:t>
      </w:r>
    </w:p>
    <w:p w14:paraId="4564D3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2.有权按照交易所的规定签发存货凭证；</w:t>
      </w:r>
    </w:p>
    <w:p w14:paraId="49B04D45">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3.有权拒绝不符合交易所规定的货主办理可信电子仓单注册手续；</w:t>
      </w:r>
    </w:p>
    <w:p w14:paraId="6F99CA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4.有权拒绝不符合交易所规定的商品入库；</w:t>
      </w:r>
    </w:p>
    <w:p w14:paraId="7EA1B7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5.有权对交易所交收业务提出合理意见和建议；</w:t>
      </w:r>
    </w:p>
    <w:p w14:paraId="77FD62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6.交易所规定的其他权利。</w:t>
      </w:r>
    </w:p>
    <w:p w14:paraId="7AB9F0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第十二条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交收仓(厂)库应承担的义务：</w:t>
      </w:r>
    </w:p>
    <w:p w14:paraId="22886B8A">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1.严格遵守并执行交易所制订的相关规章制度，接受交易所的监督，及时向交易所提供有关情况并承担相应的义务；</w:t>
      </w:r>
    </w:p>
    <w:p w14:paraId="1EE40956">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2.向交易所如实申报库容及出入库能力，并以此安排出入库业务；</w:t>
      </w:r>
    </w:p>
    <w:p w14:paraId="6CA833CA">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3.按规定保管好库内的商品，确保商品的数量和质量符合交易所规定的交收标准；</w:t>
      </w:r>
    </w:p>
    <w:p w14:paraId="09704E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4.根据交易所交收标准，对用于交收的商品进行验收入库；</w:t>
      </w:r>
    </w:p>
    <w:p w14:paraId="5705515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5.指定专人负责交收业务，积极协助货主安排交收货物的运输、入库、验收、仓储、倒库、出库等相关事宜；</w:t>
      </w:r>
    </w:p>
    <w:p w14:paraId="614D93B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6.所出具业务单据必须与实物一一对应，并对出具单据的真实有效性承担法律责任；</w:t>
      </w:r>
    </w:p>
    <w:p w14:paraId="5129648D">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7.交收仓(厂)库须建立交易所可信电子仓单台账，详细记录 交易所可信电子仓单数据，包括但不限于可信电子仓单原始数据、提货数据等；</w:t>
      </w:r>
    </w:p>
    <w:p w14:paraId="0B716443">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8.严格按可信电子仓单的要求提供符合规定的商品，积极协助货主安排交收商品的运输；</w:t>
      </w:r>
    </w:p>
    <w:p w14:paraId="2FDBF811">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9.变更法定代表人、注册资本、股东或股本结构，仓储场地等事项，应及时向交易所报告；</w:t>
      </w:r>
    </w:p>
    <w:p w14:paraId="111C2DC3">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10.准确、及时地向交易所报送仓储库存统计资料，提供有关情况，接受交易所监督；</w:t>
      </w:r>
    </w:p>
    <w:p w14:paraId="11AE24B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11.应妥善保管所有交易资料和相关交易凭证，任何人不得擅自篡改、销毁相关信息和资料，业务原始单据至少保存20年；</w:t>
      </w:r>
    </w:p>
    <w:p w14:paraId="473FEFE6">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12.严格按照交易所的规定办理商品出库，必须验明提货人的身份、凭真实有效的存货凭证或提货单、验证码及相关随附单证等提货所需文件，方可发货出库；</w:t>
      </w:r>
    </w:p>
    <w:p w14:paraId="6E281C25">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13.有责任向货主详细介绍仓库管理的有关规定，包括但不限于仓储商品最长的保管期、出入库的费用、运输、消防措施等；</w:t>
      </w:r>
    </w:p>
    <w:p w14:paraId="5915B52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14.对货主储存的商品情况以及与交易所交易有关的商业秘密</w:t>
      </w:r>
      <w:r>
        <w:rPr>
          <w:rFonts w:hint="eastAsia" w:ascii="仿宋" w:hAnsi="仿宋" w:eastAsia="仿宋" w:cs="仿宋"/>
          <w:sz w:val="32"/>
          <w:szCs w:val="32"/>
          <w:lang w:val="en-US" w:eastAsia="zh-CN"/>
        </w:rPr>
        <w:t>予以</w:t>
      </w:r>
      <w:r>
        <w:rPr>
          <w:rFonts w:hint="eastAsia" w:ascii="仿宋" w:hAnsi="仿宋" w:eastAsia="仿宋" w:cs="仿宋"/>
          <w:sz w:val="32"/>
          <w:szCs w:val="32"/>
        </w:rPr>
        <w:t>保密；</w:t>
      </w:r>
    </w:p>
    <w:p w14:paraId="6FB7DAF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15.出现法律纠纷等重大事项时，应在一个交易日内向交易所报告；</w:t>
      </w:r>
    </w:p>
    <w:p w14:paraId="6B478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16.应定期自查，并且配合交易所的巡检，填报有关报表；</w:t>
      </w:r>
    </w:p>
    <w:p w14:paraId="174A0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17.积极配合并协助完成交易所定期组织的年审以及不定期</w:t>
      </w:r>
    </w:p>
    <w:p w14:paraId="3369E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的审查工作；</w:t>
      </w:r>
    </w:p>
    <w:p w14:paraId="21345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18.交易所规定的其他义务。</w:t>
      </w:r>
    </w:p>
    <w:p w14:paraId="4585F0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8FC83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14:paraId="78E6FD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bookmarkStart w:id="4" w:name="_Toc26795"/>
      <w:r>
        <w:rPr>
          <w:rFonts w:hint="eastAsia" w:ascii="黑体" w:hAnsi="黑体" w:eastAsia="黑体" w:cs="黑体"/>
          <w:kern w:val="2"/>
          <w:sz w:val="32"/>
          <w:szCs w:val="32"/>
          <w:lang w:val="en-US" w:eastAsia="zh-CN" w:bidi="ar-SA"/>
        </w:rPr>
        <w:t xml:space="preserve">第四章 </w:t>
      </w:r>
      <w:r>
        <w:rPr>
          <w:rFonts w:hint="eastAsia" w:ascii="黑体" w:hAnsi="黑体" w:eastAsia="黑体" w:cs="黑体"/>
          <w:sz w:val="32"/>
          <w:szCs w:val="32"/>
        </w:rPr>
        <w:t>商品入库、保管、出库</w:t>
      </w:r>
      <w:bookmarkEnd w:id="4"/>
    </w:p>
    <w:p w14:paraId="0EF14B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23E33F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第十三条</w:t>
      </w:r>
      <w:r>
        <w:rPr>
          <w:rFonts w:hint="eastAsia" w:ascii="仿宋" w:hAnsi="仿宋" w:eastAsia="仿宋" w:cs="仿宋"/>
          <w:sz w:val="32"/>
          <w:szCs w:val="32"/>
        </w:rPr>
        <w:t xml:space="preserve"> 商品入库的条件：</w:t>
      </w:r>
    </w:p>
    <w:p w14:paraId="6A8009AE">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1.入库商品的质量及包装必须符合交易所交易及交收的相关规定；</w:t>
      </w:r>
    </w:p>
    <w:p w14:paraId="3AF6A421">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2.同等条件下交收仓(厂)库应保证交易所交收商品优先办理出入库。</w:t>
      </w:r>
    </w:p>
    <w:p w14:paraId="3F0F22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第十四条</w:t>
      </w:r>
      <w:r>
        <w:rPr>
          <w:rFonts w:hint="eastAsia" w:ascii="仿宋" w:hAnsi="仿宋" w:eastAsia="仿宋" w:cs="仿宋"/>
          <w:sz w:val="32"/>
          <w:szCs w:val="32"/>
        </w:rPr>
        <w:t xml:space="preserve"> 入库商品的数量以交收仓(厂)库实际验收的数量为准，计量单位符合国家相关法律规定。</w:t>
      </w:r>
    </w:p>
    <w:p w14:paraId="273956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第十五条</w:t>
      </w:r>
      <w:r>
        <w:rPr>
          <w:rFonts w:hint="eastAsia" w:ascii="仿宋" w:hAnsi="仿宋" w:eastAsia="仿宋" w:cs="仿宋"/>
          <w:sz w:val="32"/>
          <w:szCs w:val="32"/>
        </w:rPr>
        <w:t xml:space="preserve">  商品入库的程序：</w:t>
      </w:r>
    </w:p>
    <w:p w14:paraId="5A2EC5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1.入库申请</w:t>
      </w:r>
    </w:p>
    <w:p w14:paraId="63D8DBFC">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1)货主向仓库发货前，应向其提出商品入库申请。申请内容包括商品名称、等级、规格、重量、发货单位、入库起始时间等相关内容；</w:t>
      </w:r>
    </w:p>
    <w:p w14:paraId="40609819">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2)仓库在库容允许情况下，考虑货主意愿，在一个工作日内决定是否批准入库，并指定入库时间；</w:t>
      </w:r>
    </w:p>
    <w:p w14:paraId="0B12FF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3)货主须在指定时间内完成入库，否则需重新办理入库申请。</w:t>
      </w:r>
    </w:p>
    <w:p w14:paraId="61F10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2.商品入库及签发存货凭证</w:t>
      </w:r>
    </w:p>
    <w:p w14:paraId="1286D82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1)货主应在入库申请约定时间内向交收仓(厂)库发货，商品到库后，货主须到库和仓库一同对商品进行验收，根据仓库出具的合格的检验报告办理商品入库；</w:t>
      </w:r>
    </w:p>
    <w:p w14:paraId="435E1215">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2)商品到库验收时，货主应当到交收仓(厂)库监收；货主不到库监收的，视为货主同意验收结果；</w:t>
      </w:r>
    </w:p>
    <w:p w14:paraId="45EA3263">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3)商品验收无误(或在验收中发现的问题已处理完毕)方可办理入库手续，即登账、立卡、建立商品档案，并根据货主要求按交易所的具体规定签发存货凭证。</w:t>
      </w:r>
    </w:p>
    <w:p w14:paraId="094DFF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第十六条</w:t>
      </w:r>
      <w:r>
        <w:rPr>
          <w:rFonts w:hint="eastAsia" w:ascii="仿宋" w:hAnsi="仿宋" w:eastAsia="仿宋" w:cs="仿宋"/>
          <w:sz w:val="32"/>
          <w:szCs w:val="32"/>
        </w:rPr>
        <w:t xml:space="preserve">  交收商品的保管环境和条件，必须符合商品的特点和国家的有关规定。</w:t>
      </w:r>
    </w:p>
    <w:p w14:paraId="362A38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第十七条</w:t>
      </w:r>
      <w:r>
        <w:rPr>
          <w:rFonts w:hint="eastAsia" w:ascii="仿宋" w:hAnsi="仿宋" w:eastAsia="仿宋" w:cs="仿宋"/>
          <w:sz w:val="32"/>
          <w:szCs w:val="32"/>
        </w:rPr>
        <w:t xml:space="preserve">  商品经验收入库后，即进入储存阶段，在整个储存期间仓库应当做好商品的保管、保养工作。交收仓(厂)库应当根据各种商品不同的性能、特点，结合当地的自然条件选择合适储存场所和科学合理的堆码方式，对商品进行不同的保管、维护和保养，以确保储存商品完好。</w:t>
      </w:r>
    </w:p>
    <w:p w14:paraId="52E927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第十八条</w:t>
      </w:r>
      <w:r>
        <w:rPr>
          <w:rFonts w:hint="eastAsia" w:ascii="仿宋" w:hAnsi="仿宋" w:eastAsia="仿宋" w:cs="仿宋"/>
          <w:sz w:val="32"/>
          <w:szCs w:val="32"/>
        </w:rPr>
        <w:t xml:space="preserve">  由于不可抗力所造成的商品损失，在交收仓(厂) 库提供权威部门出具的证明材料的前提下，可免除或部分免除交收仓(厂)库赔偿责任，但交收仓(厂)库应在不可抗力发生后及 时通知货主和交易所，同时采取一切必要的补救措施。如因为交收仓(厂)库通知不及时，未采取补救措施或补救措施迟延造成损失扩大，则交收仓(厂)库应该就扩大部分承担赔偿责任。</w:t>
      </w:r>
    </w:p>
    <w:p w14:paraId="4BC903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第十九条</w:t>
      </w:r>
      <w:r>
        <w:rPr>
          <w:rFonts w:hint="eastAsia" w:ascii="仿宋" w:hAnsi="仿宋" w:eastAsia="仿宋" w:cs="仿宋"/>
          <w:sz w:val="32"/>
          <w:szCs w:val="32"/>
        </w:rPr>
        <w:t xml:space="preserve">  出库的程序：</w:t>
      </w:r>
    </w:p>
    <w:p w14:paraId="35DAFD2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1.货主凭真实有效的存货凭证或提货单、验证码及相关随附单证等提货所需文件办理商品出库。</w:t>
      </w:r>
    </w:p>
    <w:p w14:paraId="6A7595CE">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2.货主提货时，货主将提货所需文件及时以传真、扫描件或电子邮件的形式发给交收仓(厂)库，作为交收仓(厂)库核 对提货所需文件真实性的</w:t>
      </w:r>
      <w:r>
        <w:rPr>
          <w:rFonts w:hint="eastAsia" w:ascii="仿宋" w:hAnsi="仿宋" w:eastAsia="仿宋" w:cs="仿宋"/>
          <w:sz w:val="32"/>
          <w:szCs w:val="32"/>
          <w:lang w:val="en-US" w:eastAsia="zh-CN"/>
        </w:rPr>
        <w:t>依</w:t>
      </w:r>
      <w:r>
        <w:rPr>
          <w:rFonts w:hint="eastAsia" w:ascii="仿宋" w:hAnsi="仿宋" w:eastAsia="仿宋" w:cs="仿宋"/>
          <w:sz w:val="32"/>
          <w:szCs w:val="32"/>
        </w:rPr>
        <w:t>据。交收仓(厂)库必须当场对 提货方经办人员的身份及提货所需文件进行核实，经检查确认无误后方可办理出库手续并予以发货；</w:t>
      </w:r>
    </w:p>
    <w:p w14:paraId="7035A505">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若买方货主对交收商品的数量、质量有异议，且双方协商未达成一致时，双方应按照《</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交收管理办法》等交易所相关规则办法处理争议，待争议解决完毕后，交收仓(厂)库方可办理出库手续；</w:t>
      </w:r>
    </w:p>
    <w:p w14:paraId="75FEA8FC">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4.发货完毕当日登记核销商品</w:t>
      </w:r>
      <w:r>
        <w:rPr>
          <w:rFonts w:hint="eastAsia" w:ascii="仿宋" w:hAnsi="仿宋" w:eastAsia="仿宋" w:cs="仿宋"/>
          <w:sz w:val="32"/>
          <w:szCs w:val="32"/>
          <w:lang w:val="en-US" w:eastAsia="zh-CN"/>
        </w:rPr>
        <w:t>台</w:t>
      </w:r>
      <w:r>
        <w:rPr>
          <w:rFonts w:hint="eastAsia" w:ascii="仿宋" w:hAnsi="仿宋" w:eastAsia="仿宋" w:cs="仿宋"/>
          <w:sz w:val="32"/>
          <w:szCs w:val="32"/>
        </w:rPr>
        <w:t>帐、清理单据证件、清理场地、整理货垛；对需办理代运的物资应当提前向承运部门提出运 输计划；收回提货所需文件加盖“货讫”章并与仓库留底配对后保存。</w:t>
      </w:r>
    </w:p>
    <w:p w14:paraId="77A2B0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第二十条</w:t>
      </w:r>
      <w:r>
        <w:rPr>
          <w:rFonts w:hint="eastAsia" w:ascii="仿宋" w:hAnsi="仿宋" w:eastAsia="仿宋" w:cs="仿宋"/>
          <w:sz w:val="32"/>
          <w:szCs w:val="32"/>
        </w:rPr>
        <w:t xml:space="preserve"> 若货主需要办理可信电子仓单相关业务时，交收仓 (厂)库应按照《</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可信电子仓单管理办法》等交易所相关规则配合交易所和货主办理。</w:t>
      </w:r>
    </w:p>
    <w:p w14:paraId="14FD7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28BBF9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bookmarkStart w:id="5" w:name="_Toc7856"/>
      <w:r>
        <w:rPr>
          <w:rFonts w:hint="eastAsia" w:ascii="黑体" w:hAnsi="黑体" w:eastAsia="黑体" w:cs="黑体"/>
          <w:kern w:val="2"/>
          <w:sz w:val="32"/>
          <w:szCs w:val="32"/>
          <w:lang w:val="en-US" w:eastAsia="zh-CN" w:bidi="ar-SA"/>
        </w:rPr>
        <w:t>第五章</w:t>
      </w:r>
      <w:r>
        <w:rPr>
          <w:rFonts w:hint="eastAsia" w:ascii="黑体" w:hAnsi="黑体" w:eastAsia="黑体" w:cs="黑体"/>
          <w:sz w:val="32"/>
          <w:szCs w:val="32"/>
        </w:rPr>
        <w:t xml:space="preserve"> 费用</w:t>
      </w:r>
      <w:bookmarkEnd w:id="5"/>
    </w:p>
    <w:p w14:paraId="05A75D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0AF0E2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第二十一条</w:t>
      </w:r>
      <w:r>
        <w:rPr>
          <w:rFonts w:hint="eastAsia" w:ascii="仿宋" w:hAnsi="仿宋" w:eastAsia="仿宋" w:cs="仿宋"/>
          <w:sz w:val="32"/>
          <w:szCs w:val="32"/>
        </w:rPr>
        <w:t xml:space="preserve"> 交收仓(厂)库按不高于交易所核准的收费项目标准向货主收取仓储、出入库、过户服务费和其他费用等。</w:t>
      </w:r>
    </w:p>
    <w:p w14:paraId="6FA626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第二十二条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除交易所在其他业务规则中规定的必须通过交易平台核算的费用以外，其他仓储相关费用均由货主与交收仓(厂)库直接核算。</w:t>
      </w:r>
    </w:p>
    <w:p w14:paraId="44229D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00E0C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14:paraId="0FB815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bookmarkStart w:id="6" w:name="_Toc28197"/>
      <w:r>
        <w:rPr>
          <w:rFonts w:hint="eastAsia" w:ascii="黑体" w:hAnsi="黑体" w:eastAsia="黑体" w:cs="黑体"/>
          <w:kern w:val="2"/>
          <w:sz w:val="32"/>
          <w:szCs w:val="32"/>
          <w:lang w:val="en-US" w:eastAsia="zh-CN" w:bidi="ar-SA"/>
        </w:rPr>
        <w:t>第六章</w:t>
      </w:r>
      <w:r>
        <w:rPr>
          <w:rFonts w:hint="eastAsia" w:ascii="黑体" w:hAnsi="黑体" w:eastAsia="黑体" w:cs="黑体"/>
          <w:sz w:val="32"/>
          <w:szCs w:val="32"/>
        </w:rPr>
        <w:t xml:space="preserve"> 争议处理</w:t>
      </w:r>
      <w:bookmarkEnd w:id="6"/>
    </w:p>
    <w:p w14:paraId="36BB92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1081AD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第二十三条</w:t>
      </w:r>
      <w:r>
        <w:rPr>
          <w:rFonts w:hint="eastAsia" w:ascii="仿宋" w:hAnsi="仿宋" w:eastAsia="仿宋" w:cs="仿宋"/>
          <w:sz w:val="32"/>
          <w:szCs w:val="32"/>
        </w:rPr>
        <w:t xml:space="preserve"> 入库时如货主对仓库检验结果有异议，可选择具有 CMA 认证资质的第三方检验机构进行检验。</w:t>
      </w:r>
    </w:p>
    <w:p w14:paraId="235906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第二十四条</w:t>
      </w:r>
      <w:r>
        <w:rPr>
          <w:rFonts w:hint="eastAsia" w:ascii="仿宋" w:hAnsi="仿宋" w:eastAsia="仿宋" w:cs="仿宋"/>
          <w:sz w:val="32"/>
          <w:szCs w:val="32"/>
        </w:rPr>
        <w:t xml:space="preserve"> 货主与交收仓(厂)库如发生纠纷，双方自行协商解决。如不能达成一致意见，可提请交易所调解。</w:t>
      </w:r>
    </w:p>
    <w:p w14:paraId="50A1AC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FD1C3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bookmarkStart w:id="7" w:name="_Toc16489"/>
      <w:r>
        <w:rPr>
          <w:rFonts w:hint="eastAsia" w:ascii="黑体" w:hAnsi="黑体" w:eastAsia="黑体" w:cs="黑体"/>
          <w:kern w:val="2"/>
          <w:sz w:val="32"/>
          <w:szCs w:val="32"/>
          <w:lang w:val="en-US" w:eastAsia="zh-CN" w:bidi="ar-SA"/>
        </w:rPr>
        <w:t xml:space="preserve">第七章 </w:t>
      </w:r>
      <w:r>
        <w:rPr>
          <w:rFonts w:hint="eastAsia" w:ascii="黑体" w:hAnsi="黑体" w:eastAsia="黑体" w:cs="黑体"/>
          <w:sz w:val="32"/>
          <w:szCs w:val="32"/>
        </w:rPr>
        <w:t>违规与处罚</w:t>
      </w:r>
      <w:bookmarkEnd w:id="7"/>
    </w:p>
    <w:p w14:paraId="260B4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5A9A8C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第二十五条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交收仓(厂)库对其所开出的各种单据的真实性 承担法律责任。对于交收仓(厂)库违反交易所规定所造成的损失，交收仓(厂)库承担相应的责任。</w:t>
      </w:r>
    </w:p>
    <w:p w14:paraId="5901CE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第二十六条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交收仓(厂)库违规行为主要包括：</w:t>
      </w:r>
    </w:p>
    <w:p w14:paraId="3B8CF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1.虚报出</w:t>
      </w:r>
      <w:r>
        <w:rPr>
          <w:rFonts w:hint="eastAsia" w:ascii="仿宋" w:hAnsi="仿宋" w:eastAsia="仿宋" w:cs="仿宋"/>
          <w:sz w:val="32"/>
          <w:szCs w:val="32"/>
          <w:lang w:eastAsia="zh-CN"/>
        </w:rPr>
        <w:t>、</w:t>
      </w:r>
      <w:r>
        <w:rPr>
          <w:rFonts w:hint="eastAsia" w:ascii="仿宋" w:hAnsi="仿宋" w:eastAsia="仿宋" w:cs="仿宋"/>
          <w:sz w:val="32"/>
          <w:szCs w:val="32"/>
        </w:rPr>
        <w:t>入库数据和开具虚假单据；</w:t>
      </w:r>
    </w:p>
    <w:p w14:paraId="4C7E0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2.仓储凭证与所储货物不能一一对应；</w:t>
      </w:r>
    </w:p>
    <w:p w14:paraId="14047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3.擅自处理、倒卖、挪用、调换</w:t>
      </w:r>
      <w:r>
        <w:rPr>
          <w:rFonts w:hint="eastAsia" w:ascii="仿宋" w:hAnsi="仿宋" w:eastAsia="仿宋" w:cs="仿宋"/>
          <w:sz w:val="32"/>
          <w:szCs w:val="32"/>
          <w:lang w:eastAsia="zh-CN"/>
        </w:rPr>
        <w:t>市场参与企业</w:t>
      </w:r>
      <w:r>
        <w:rPr>
          <w:rFonts w:hint="eastAsia" w:ascii="仿宋" w:hAnsi="仿宋" w:eastAsia="仿宋" w:cs="仿宋"/>
          <w:sz w:val="32"/>
          <w:szCs w:val="32"/>
        </w:rPr>
        <w:t>库存商品；</w:t>
      </w:r>
    </w:p>
    <w:p w14:paraId="51721CE2">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4.泄露与交易所有关不宜公开的仓储信息或散布虚假信息误导其他市场参与企业；</w:t>
      </w:r>
    </w:p>
    <w:p w14:paraId="74818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5.交收商品与单证</w:t>
      </w:r>
      <w:r>
        <w:rPr>
          <w:rFonts w:hint="eastAsia" w:ascii="仿宋" w:hAnsi="仿宋" w:eastAsia="仿宋" w:cs="仿宋"/>
          <w:sz w:val="32"/>
          <w:szCs w:val="32"/>
          <w:lang w:val="en-US" w:eastAsia="zh-CN"/>
        </w:rPr>
        <w:t>记载内容</w:t>
      </w:r>
      <w:r>
        <w:rPr>
          <w:rFonts w:hint="eastAsia" w:ascii="仿宋" w:hAnsi="仿宋" w:eastAsia="仿宋" w:cs="仿宋"/>
          <w:sz w:val="32"/>
          <w:szCs w:val="32"/>
        </w:rPr>
        <w:t>不符或缺少规定证明文件；</w:t>
      </w:r>
    </w:p>
    <w:p w14:paraId="31B2E2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6.伪造、</w:t>
      </w:r>
      <w:r>
        <w:rPr>
          <w:rFonts w:hint="eastAsia" w:ascii="仿宋" w:hAnsi="仿宋" w:eastAsia="仿宋" w:cs="仿宋"/>
          <w:sz w:val="32"/>
          <w:szCs w:val="32"/>
          <w:lang w:val="en-US" w:eastAsia="zh-CN"/>
        </w:rPr>
        <w:t>变造、</w:t>
      </w:r>
      <w:r>
        <w:rPr>
          <w:rFonts w:hint="eastAsia" w:ascii="仿宋" w:hAnsi="仿宋" w:eastAsia="仿宋" w:cs="仿宋"/>
          <w:sz w:val="32"/>
          <w:szCs w:val="32"/>
        </w:rPr>
        <w:t>涂改</w:t>
      </w:r>
      <w:r>
        <w:rPr>
          <w:rFonts w:hint="eastAsia" w:ascii="仿宋" w:hAnsi="仿宋" w:eastAsia="仿宋" w:cs="仿宋"/>
          <w:sz w:val="32"/>
          <w:szCs w:val="32"/>
          <w:lang w:val="en-US" w:eastAsia="zh-CN"/>
        </w:rPr>
        <w:t>相</w:t>
      </w:r>
      <w:r>
        <w:rPr>
          <w:rFonts w:hint="eastAsia" w:ascii="仿宋" w:hAnsi="仿宋" w:eastAsia="仿宋" w:cs="仿宋"/>
          <w:sz w:val="32"/>
          <w:szCs w:val="32"/>
        </w:rPr>
        <w:t>关票证和文件；</w:t>
      </w:r>
    </w:p>
    <w:p w14:paraId="36BC4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因</w:t>
      </w:r>
      <w:r>
        <w:rPr>
          <w:rFonts w:hint="eastAsia" w:ascii="仿宋" w:hAnsi="仿宋" w:eastAsia="仿宋" w:cs="仿宋"/>
          <w:sz w:val="32"/>
          <w:szCs w:val="32"/>
        </w:rPr>
        <w:t>管理不善，不能保证储存商品</w:t>
      </w:r>
      <w:r>
        <w:rPr>
          <w:rFonts w:hint="eastAsia" w:ascii="仿宋" w:hAnsi="仿宋" w:eastAsia="仿宋" w:cs="仿宋"/>
          <w:sz w:val="32"/>
          <w:szCs w:val="32"/>
          <w:lang w:val="en-US" w:eastAsia="zh-CN"/>
        </w:rPr>
        <w:t>的</w:t>
      </w:r>
      <w:r>
        <w:rPr>
          <w:rFonts w:hint="eastAsia" w:ascii="仿宋" w:hAnsi="仿宋" w:eastAsia="仿宋" w:cs="仿宋"/>
          <w:sz w:val="32"/>
          <w:szCs w:val="32"/>
        </w:rPr>
        <w:t>数量和质量；</w:t>
      </w:r>
    </w:p>
    <w:p w14:paraId="264619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8.不按照规定向交易所提供和报告真实情况；</w:t>
      </w:r>
    </w:p>
    <w:p w14:paraId="7D0FE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9.不按照规定保存提货所需文件等有关资料；</w:t>
      </w:r>
    </w:p>
    <w:p w14:paraId="00C8C71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10.违反交易所相关业务规则，限制</w:t>
      </w:r>
      <w:r>
        <w:rPr>
          <w:rFonts w:hint="eastAsia" w:ascii="仿宋" w:hAnsi="仿宋" w:eastAsia="仿宋" w:cs="仿宋"/>
          <w:sz w:val="32"/>
          <w:szCs w:val="32"/>
          <w:lang w:val="en-US" w:eastAsia="zh-CN"/>
        </w:rPr>
        <w:t>或</w:t>
      </w:r>
      <w:r>
        <w:rPr>
          <w:rFonts w:hint="eastAsia" w:ascii="仿宋" w:hAnsi="仿宋" w:eastAsia="仿宋" w:cs="仿宋"/>
          <w:sz w:val="32"/>
          <w:szCs w:val="32"/>
        </w:rPr>
        <w:t>故意拖延交收商品的入库、出库；</w:t>
      </w:r>
    </w:p>
    <w:p w14:paraId="043F815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11.其他违反国家相关法律法规</w:t>
      </w:r>
      <w:r>
        <w:rPr>
          <w:rFonts w:hint="eastAsia" w:ascii="仿宋" w:hAnsi="仿宋" w:eastAsia="仿宋" w:cs="仿宋"/>
          <w:sz w:val="32"/>
          <w:szCs w:val="32"/>
          <w:lang w:eastAsia="zh-CN"/>
        </w:rPr>
        <w:t>、</w:t>
      </w:r>
      <w:r>
        <w:rPr>
          <w:rFonts w:hint="eastAsia" w:ascii="仿宋" w:hAnsi="仿宋" w:eastAsia="仿宋" w:cs="仿宋"/>
          <w:sz w:val="32"/>
          <w:szCs w:val="32"/>
        </w:rPr>
        <w:t>交易所规定禁止的其他行为</w:t>
      </w:r>
      <w:r>
        <w:rPr>
          <w:rFonts w:hint="eastAsia" w:ascii="仿宋" w:hAnsi="仿宋" w:eastAsia="仿宋" w:cs="仿宋"/>
          <w:sz w:val="32"/>
          <w:szCs w:val="32"/>
          <w:lang w:val="en-US" w:eastAsia="zh-CN"/>
        </w:rPr>
        <w:t>及</w:t>
      </w:r>
      <w:r>
        <w:rPr>
          <w:rFonts w:hint="eastAsia" w:ascii="仿宋" w:hAnsi="仿宋" w:eastAsia="仿宋" w:cs="仿宋"/>
          <w:sz w:val="32"/>
          <w:szCs w:val="32"/>
        </w:rPr>
        <w:t>其他妨碍或有损交易所公正交易和监督检查的行为；</w:t>
      </w:r>
    </w:p>
    <w:p w14:paraId="015C1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12.交易所认定违规的其他行为。</w:t>
      </w:r>
    </w:p>
    <w:p w14:paraId="732A2D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第二十七条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交收仓(厂)库如有上述行为之一的，交易所可 视情节轻重处以</w:t>
      </w:r>
      <w:r>
        <w:rPr>
          <w:rFonts w:hint="eastAsia" w:ascii="仿宋" w:hAnsi="仿宋" w:eastAsia="仿宋" w:cs="仿宋"/>
          <w:sz w:val="32"/>
          <w:szCs w:val="32"/>
          <w:lang w:val="en-US" w:eastAsia="zh-CN"/>
        </w:rPr>
        <w:t>包括</w:t>
      </w:r>
      <w:r>
        <w:rPr>
          <w:rFonts w:hint="eastAsia" w:ascii="仿宋" w:hAnsi="仿宋" w:eastAsia="仿宋" w:cs="仿宋"/>
          <w:sz w:val="32"/>
          <w:szCs w:val="32"/>
        </w:rPr>
        <w:t>但不限于：警告、通报、暂停或取消交收仓(厂) 库资格等处罚。给交易所和其他市场参与企业造成经济损失的，应赔偿损失；造成严重后果者，追究其相关法律责任。</w:t>
      </w:r>
    </w:p>
    <w:p w14:paraId="73A8F2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第二十八条</w:t>
      </w:r>
      <w:r>
        <w:rPr>
          <w:rFonts w:hint="eastAsia" w:ascii="楷体" w:hAnsi="楷体" w:eastAsia="楷体" w:cs="楷体"/>
          <w:b/>
          <w:bCs/>
          <w:sz w:val="32"/>
          <w:szCs w:val="32"/>
          <w:lang w:val="en-US" w:eastAsia="zh-CN"/>
        </w:rPr>
        <w:t xml:space="preserve"> </w:t>
      </w:r>
      <w:r>
        <w:rPr>
          <w:rFonts w:hint="eastAsia" w:ascii="仿宋" w:hAnsi="仿宋" w:eastAsia="仿宋" w:cs="仿宋"/>
          <w:sz w:val="32"/>
          <w:szCs w:val="32"/>
        </w:rPr>
        <w:t>商品一经验收入库后，在仓储期间造成的非不可抗力损失由交收仓(厂)库负责。</w:t>
      </w:r>
    </w:p>
    <w:p w14:paraId="066C44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8D48C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rPr>
      </w:pPr>
      <w:bookmarkStart w:id="8" w:name="_Toc2078"/>
      <w:r>
        <w:rPr>
          <w:rFonts w:hint="eastAsia" w:ascii="黑体" w:hAnsi="黑体" w:eastAsia="黑体" w:cs="黑体"/>
          <w:kern w:val="2"/>
          <w:sz w:val="32"/>
          <w:szCs w:val="32"/>
          <w:lang w:val="en-US" w:eastAsia="zh-CN" w:bidi="ar-SA"/>
        </w:rPr>
        <w:t xml:space="preserve">第八章 </w:t>
      </w:r>
      <w:r>
        <w:rPr>
          <w:rFonts w:hint="eastAsia" w:ascii="黑体" w:hAnsi="黑体" w:eastAsia="黑体" w:cs="黑体"/>
          <w:sz w:val="32"/>
          <w:szCs w:val="32"/>
        </w:rPr>
        <w:t>附则</w:t>
      </w:r>
      <w:bookmarkEnd w:id="8"/>
    </w:p>
    <w:p w14:paraId="7E8D38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rPr>
      </w:pPr>
    </w:p>
    <w:p w14:paraId="0A7C5F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第二十九条</w:t>
      </w:r>
      <w:r>
        <w:rPr>
          <w:rFonts w:hint="eastAsia" w:ascii="仿宋" w:hAnsi="仿宋" w:eastAsia="仿宋" w:cs="仿宋"/>
          <w:sz w:val="32"/>
          <w:szCs w:val="32"/>
        </w:rPr>
        <w:t xml:space="preserve"> 本规则由</w:t>
      </w:r>
      <w:r>
        <w:rPr>
          <w:rFonts w:hint="eastAsia" w:ascii="仿宋" w:hAnsi="仿宋" w:eastAsia="仿宋" w:cs="仿宋"/>
          <w:sz w:val="32"/>
          <w:szCs w:val="32"/>
          <w:lang w:eastAsia="zh-CN"/>
        </w:rPr>
        <w:t>天津国际电子商品交易有限公司</w:t>
      </w:r>
      <w:r>
        <w:rPr>
          <w:rFonts w:hint="eastAsia" w:ascii="仿宋" w:hAnsi="仿宋" w:eastAsia="仿宋" w:cs="仿宋"/>
          <w:sz w:val="32"/>
          <w:szCs w:val="32"/>
        </w:rPr>
        <w:t>制定、修订并解释。</w:t>
      </w:r>
    </w:p>
    <w:p w14:paraId="575304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第三十条</w:t>
      </w:r>
      <w:r>
        <w:rPr>
          <w:rFonts w:hint="eastAsia" w:ascii="仿宋" w:hAnsi="仿宋" w:eastAsia="仿宋" w:cs="仿宋"/>
          <w:sz w:val="32"/>
          <w:szCs w:val="32"/>
        </w:rPr>
        <w:t xml:space="preserve"> 交易所有权根据本规则制定相应的业务指引及流程。</w:t>
      </w:r>
    </w:p>
    <w:p w14:paraId="2C2C69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第三十一条</w:t>
      </w:r>
      <w:r>
        <w:rPr>
          <w:rFonts w:hint="eastAsia" w:ascii="仿宋" w:hAnsi="仿宋" w:eastAsia="仿宋" w:cs="仿宋"/>
          <w:sz w:val="32"/>
          <w:szCs w:val="32"/>
        </w:rPr>
        <w:t xml:space="preserve"> 本规则自颁布之日起施行。</w:t>
      </w:r>
    </w:p>
    <w:sectPr>
      <w:pgSz w:w="11905" w:h="16838"/>
      <w:pgMar w:top="2098" w:right="1474" w:bottom="1984" w:left="1587" w:header="850"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42475">
    <w:pPr>
      <w:widowControl/>
      <w:kinsoku w:val="0"/>
      <w:autoSpaceDE w:val="0"/>
      <w:autoSpaceDN w:val="0"/>
      <w:adjustRightInd w:val="0"/>
      <w:snapToGrid w:val="0"/>
      <w:spacing w:line="182" w:lineRule="auto"/>
      <w:ind w:left="4591"/>
      <w:jc w:val="left"/>
      <w:textAlignment w:val="baseline"/>
      <w:rPr>
        <w:rFonts w:ascii="Times New Roman" w:hAnsi="Times New Roman" w:eastAsia="Times New Roman" w:cs="Times New Roman"/>
        <w:snapToGrid w:val="0"/>
        <w:color w:val="000000"/>
        <w:kern w:val="0"/>
        <w:sz w:val="22"/>
        <w:szCs w:val="22"/>
        <w:lang w:eastAsia="en-US"/>
      </w:rP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D6A5E">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DD6A5E">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NzdiNWQ3NDAyMDZkODBjODA3ZmU5YTI5NTFlOWEifQ=="/>
  </w:docVars>
  <w:rsids>
    <w:rsidRoot w:val="00000000"/>
    <w:rsid w:val="0EC222B6"/>
    <w:rsid w:val="0F1E7C1F"/>
    <w:rsid w:val="131728B7"/>
    <w:rsid w:val="15B80948"/>
    <w:rsid w:val="176B037C"/>
    <w:rsid w:val="1F242A63"/>
    <w:rsid w:val="2256392A"/>
    <w:rsid w:val="25536854"/>
    <w:rsid w:val="28321D4D"/>
    <w:rsid w:val="2E7F3812"/>
    <w:rsid w:val="318F1FBE"/>
    <w:rsid w:val="3232330F"/>
    <w:rsid w:val="34014CC9"/>
    <w:rsid w:val="344F1022"/>
    <w:rsid w:val="34930017"/>
    <w:rsid w:val="34CC52D7"/>
    <w:rsid w:val="35710AE5"/>
    <w:rsid w:val="41210759"/>
    <w:rsid w:val="4C7612DF"/>
    <w:rsid w:val="4CE17D3A"/>
    <w:rsid w:val="4EDD03B5"/>
    <w:rsid w:val="4F710AFD"/>
    <w:rsid w:val="4FBA42CE"/>
    <w:rsid w:val="4FFC486B"/>
    <w:rsid w:val="51BF0246"/>
    <w:rsid w:val="5474064F"/>
    <w:rsid w:val="589265AE"/>
    <w:rsid w:val="5D0C307D"/>
    <w:rsid w:val="5D767277"/>
    <w:rsid w:val="6139728C"/>
    <w:rsid w:val="627666FF"/>
    <w:rsid w:val="649317EA"/>
    <w:rsid w:val="6DAC56CB"/>
    <w:rsid w:val="6DFB0400"/>
    <w:rsid w:val="782567A5"/>
    <w:rsid w:val="7C556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4666</Words>
  <Characters>4770</Characters>
  <Lines>0</Lines>
  <Paragraphs>0</Paragraphs>
  <TotalTime>13</TotalTime>
  <ScaleCrop>false</ScaleCrop>
  <LinksUpToDate>false</LinksUpToDate>
  <CharactersWithSpaces>4877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2024-06-19T01:41:00Z</dcterms:created>
  <dc:creator>HP</dc:creator>
  <cp:lastModifiedBy>天交所</cp:lastModifiedBy>
  <dcterms:modified xsi:type="dcterms:W3CDTF">2026-04-10T06:40:01Z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EE7C9C2B8F40421E8B894E22A63A8B69_12</vt:lpwstr>
  </property>
  <property fmtid="{D5CDD505-2E9C-101B-9397-08002B2CF9AE}" pid="4" name="KSOTemplateDocerSaveRecord">
    <vt:lpwstr>eyJoZGlkIjoiNzlkN2FiOThlZDNjZTg0MDY3NzIzMzRlNTg5NDY0ZmUiLCJ1c2VySWQiOiIxNjUyMDQxNDk1In0=</vt:lpwstr>
  </property>
</Properties>
</file>