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7034B">
      <w:pPr>
        <w:jc w:val="center"/>
        <w:rPr>
          <w:rFonts w:hint="eastAsia" w:ascii="宋体" w:hAnsi="宋体" w:eastAsia="宋体" w:cs="宋体"/>
          <w:b/>
          <w:bCs/>
          <w:sz w:val="44"/>
          <w:szCs w:val="44"/>
        </w:rPr>
      </w:pPr>
    </w:p>
    <w:p w14:paraId="5C2C8DBF">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天津国际电子商品交易有限公司</w:t>
      </w:r>
    </w:p>
    <w:p w14:paraId="6E4585EB">
      <w:pPr>
        <w:jc w:val="center"/>
        <w:rPr>
          <w:rFonts w:hint="eastAsia" w:ascii="宋体" w:hAnsi="宋体" w:eastAsia="宋体" w:cs="宋体"/>
          <w:b/>
          <w:bCs/>
          <w:sz w:val="44"/>
          <w:szCs w:val="44"/>
        </w:rPr>
      </w:pPr>
      <w:r>
        <w:rPr>
          <w:rFonts w:hint="eastAsia" w:ascii="宋体" w:hAnsi="宋体" w:eastAsia="宋体" w:cs="宋体"/>
          <w:b/>
          <w:bCs/>
          <w:sz w:val="44"/>
          <w:szCs w:val="44"/>
        </w:rPr>
        <w:t>交收管理办法</w:t>
      </w:r>
    </w:p>
    <w:p w14:paraId="74A59E54">
      <w:pPr>
        <w:jc w:val="center"/>
        <w:rPr>
          <w:rFonts w:hint="eastAsia" w:ascii="宋体" w:hAnsi="宋体" w:eastAsia="宋体" w:cs="宋体"/>
          <w:b/>
          <w:bCs/>
          <w:sz w:val="44"/>
          <w:szCs w:val="44"/>
        </w:rPr>
      </w:pPr>
    </w:p>
    <w:p w14:paraId="6554C662">
      <w:pPr>
        <w:jc w:val="center"/>
        <w:rPr>
          <w:rFonts w:hint="eastAsia" w:ascii="宋体" w:hAnsi="宋体" w:eastAsia="宋体" w:cs="宋体"/>
          <w:sz w:val="30"/>
          <w:szCs w:val="30"/>
        </w:rPr>
      </w:pPr>
      <w:r>
        <w:rPr>
          <w:rFonts w:hint="eastAsia" w:ascii="宋体" w:hAnsi="宋体" w:eastAsia="宋体" w:cs="宋体"/>
          <w:sz w:val="30"/>
          <w:szCs w:val="30"/>
        </w:rPr>
        <w:t>(</w:t>
      </w:r>
      <w:r>
        <w:rPr>
          <w:rFonts w:hint="eastAsia" w:ascii="宋体" w:hAnsi="宋体" w:eastAsia="宋体" w:cs="宋体"/>
          <w:sz w:val="30"/>
          <w:szCs w:val="30"/>
          <w:lang w:val="en-US" w:eastAsia="zh-CN"/>
        </w:rPr>
        <w:t>试</w:t>
      </w:r>
      <w:bookmarkStart w:id="0" w:name="_GoBack"/>
      <w:bookmarkEnd w:id="0"/>
      <w:r>
        <w:rPr>
          <w:rFonts w:hint="eastAsia" w:ascii="宋体" w:hAnsi="宋体" w:eastAsia="宋体" w:cs="宋体"/>
          <w:sz w:val="30"/>
          <w:szCs w:val="30"/>
        </w:rPr>
        <w:t>行)</w:t>
      </w:r>
    </w:p>
    <w:p w14:paraId="1EB2CD80">
      <w:pPr>
        <w:spacing w:line="322" w:lineRule="auto"/>
        <w:rPr>
          <w:rFonts w:ascii="Arial"/>
          <w:sz w:val="21"/>
        </w:rPr>
      </w:pPr>
    </w:p>
    <w:p w14:paraId="53D9C06E">
      <w:pPr>
        <w:spacing w:line="323" w:lineRule="auto"/>
        <w:rPr>
          <w:rFonts w:ascii="Arial"/>
          <w:sz w:val="21"/>
        </w:rPr>
      </w:pPr>
    </w:p>
    <w:sdt>
      <w:sdtPr>
        <w:rPr>
          <w:rFonts w:ascii="仿宋" w:hAnsi="仿宋" w:eastAsia="仿宋" w:cs="仿宋"/>
          <w:sz w:val="22"/>
          <w:szCs w:val="22"/>
        </w:rPr>
        <w:id w:val="1"/>
        <w:docPartObj>
          <w:docPartGallery w:val="Table of Contents"/>
          <w:docPartUnique/>
        </w:docPartObj>
      </w:sdtPr>
      <w:sdtEndPr>
        <w:rPr>
          <w:rFonts w:hint="eastAsia" w:ascii="宋体" w:hAnsi="宋体" w:eastAsia="宋体" w:cs="宋体"/>
          <w:sz w:val="24"/>
          <w:szCs w:val="24"/>
        </w:rPr>
      </w:sdtEndPr>
      <w:sdtContent>
        <w:p w14:paraId="039DAA52">
          <w:pPr>
            <w:pStyle w:val="2"/>
            <w:tabs>
              <w:tab w:val="right" w:leader="dot" w:pos="8915"/>
            </w:tabs>
            <w:spacing w:before="71" w:line="222" w:lineRule="auto"/>
            <w:ind w:left="240"/>
            <w:rPr>
              <w:rFonts w:hint="eastAsia" w:ascii="宋体" w:hAnsi="宋体" w:eastAsia="宋体" w:cs="宋体"/>
              <w:sz w:val="24"/>
              <w:szCs w:val="24"/>
            </w:rPr>
          </w:pPr>
          <w:r>
            <w:rPr>
              <w:rFonts w:hint="eastAsia" w:ascii="宋体" w:hAnsi="宋体" w:eastAsia="宋体" w:cs="宋体"/>
              <w:spacing w:val="-20"/>
              <w:sz w:val="24"/>
              <w:szCs w:val="24"/>
            </w:rPr>
            <w:t>第</w:t>
          </w:r>
          <w:r>
            <w:rPr>
              <w:rFonts w:hint="eastAsia" w:ascii="宋体" w:hAnsi="宋体" w:eastAsia="宋体" w:cs="宋体"/>
              <w:spacing w:val="-45"/>
              <w:sz w:val="24"/>
              <w:szCs w:val="24"/>
            </w:rPr>
            <w:t xml:space="preserve"> </w:t>
          </w:r>
          <w:r>
            <w:rPr>
              <w:rFonts w:hint="eastAsia" w:ascii="宋体" w:hAnsi="宋体" w:eastAsia="宋体" w:cs="宋体"/>
              <w:spacing w:val="-20"/>
              <w:sz w:val="24"/>
              <w:szCs w:val="24"/>
            </w:rPr>
            <w:t>一</w:t>
          </w:r>
          <w:r>
            <w:rPr>
              <w:rFonts w:hint="eastAsia" w:ascii="宋体" w:hAnsi="宋体" w:eastAsia="宋体" w:cs="宋体"/>
              <w:spacing w:val="-46"/>
              <w:sz w:val="24"/>
              <w:szCs w:val="24"/>
            </w:rPr>
            <w:t xml:space="preserve"> </w:t>
          </w:r>
          <w:r>
            <w:rPr>
              <w:rFonts w:hint="eastAsia" w:ascii="宋体" w:hAnsi="宋体" w:eastAsia="宋体" w:cs="宋体"/>
              <w:spacing w:val="-20"/>
              <w:sz w:val="24"/>
              <w:szCs w:val="24"/>
            </w:rPr>
            <w:t>章</w:t>
          </w:r>
          <w:r>
            <w:rPr>
              <w:rFonts w:hint="eastAsia" w:ascii="宋体" w:hAnsi="宋体" w:eastAsia="宋体" w:cs="宋体"/>
              <w:spacing w:val="14"/>
              <w:sz w:val="24"/>
              <w:szCs w:val="24"/>
            </w:rPr>
            <w:t xml:space="preserve">  </w:t>
          </w:r>
          <w:r>
            <w:rPr>
              <w:rFonts w:hint="eastAsia" w:ascii="宋体" w:hAnsi="宋体" w:eastAsia="宋体" w:cs="宋体"/>
              <w:spacing w:val="14"/>
              <w:sz w:val="24"/>
              <w:szCs w:val="24"/>
              <w:lang w:val="en-US" w:eastAsia="zh-CN"/>
            </w:rPr>
            <w:t xml:space="preserve">  </w:t>
          </w:r>
          <w:r>
            <w:rPr>
              <w:rFonts w:hint="eastAsia" w:ascii="宋体" w:hAnsi="宋体" w:eastAsia="宋体" w:cs="宋体"/>
              <w:spacing w:val="-20"/>
              <w:sz w:val="24"/>
              <w:szCs w:val="24"/>
            </w:rPr>
            <w:t>总</w:t>
          </w:r>
          <w:r>
            <w:rPr>
              <w:rFonts w:hint="eastAsia" w:ascii="宋体" w:hAnsi="宋体" w:eastAsia="宋体" w:cs="宋体"/>
              <w:spacing w:val="-21"/>
              <w:sz w:val="24"/>
              <w:szCs w:val="24"/>
            </w:rPr>
            <w:t xml:space="preserve"> </w:t>
          </w:r>
          <w:r>
            <w:rPr>
              <w:rFonts w:hint="eastAsia" w:ascii="宋体" w:hAnsi="宋体" w:eastAsia="宋体" w:cs="宋体"/>
              <w:spacing w:val="-20"/>
              <w:sz w:val="24"/>
              <w:szCs w:val="24"/>
            </w:rPr>
            <w:t>则</w:t>
          </w:r>
          <w:r>
            <w:rPr>
              <w:rFonts w:hint="eastAsia" w:ascii="宋体" w:hAnsi="宋体" w:eastAsia="宋体" w:cs="宋体"/>
              <w:sz w:val="24"/>
              <w:szCs w:val="24"/>
            </w:rPr>
            <w:tab/>
          </w:r>
          <w:r>
            <w:rPr>
              <w:rFonts w:hint="eastAsia" w:ascii="宋体" w:hAnsi="宋体" w:eastAsia="宋体" w:cs="宋体"/>
              <w:spacing w:val="-25"/>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"bookmark1"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p w14:paraId="2033B111">
          <w:pPr>
            <w:spacing w:line="242" w:lineRule="auto"/>
            <w:rPr>
              <w:rFonts w:hint="eastAsia" w:ascii="宋体" w:hAnsi="宋体" w:eastAsia="宋体" w:cs="宋体"/>
              <w:sz w:val="24"/>
              <w:szCs w:val="24"/>
            </w:rPr>
          </w:pPr>
        </w:p>
        <w:p w14:paraId="7835F359">
          <w:pPr>
            <w:pStyle w:val="2"/>
            <w:tabs>
              <w:tab w:val="right" w:leader="dot" w:pos="8905"/>
            </w:tabs>
            <w:spacing w:before="71" w:line="222" w:lineRule="auto"/>
            <w:ind w:left="240"/>
            <w:rPr>
              <w:rFonts w:hint="eastAsia" w:ascii="宋体" w:hAnsi="宋体" w:eastAsia="宋体" w:cs="宋体"/>
              <w:sz w:val="24"/>
              <w:szCs w:val="24"/>
            </w:rPr>
          </w:pPr>
          <w:r>
            <w:rPr>
              <w:rFonts w:hint="eastAsia" w:ascii="宋体" w:hAnsi="宋体" w:eastAsia="宋体" w:cs="宋体"/>
              <w:spacing w:val="19"/>
              <w:sz w:val="24"/>
              <w:szCs w:val="24"/>
            </w:rPr>
            <w:t>第二章  交收标的</w:t>
          </w:r>
          <w:r>
            <w:rPr>
              <w:rFonts w:hint="eastAsia" w:ascii="宋体" w:hAnsi="宋体" w:eastAsia="宋体" w:cs="宋体"/>
              <w:spacing w:val="-102"/>
              <w:sz w:val="24"/>
              <w:szCs w:val="24"/>
            </w:rPr>
            <w:t xml:space="preserve"> </w:t>
          </w:r>
          <w:r>
            <w:rPr>
              <w:rFonts w:hint="eastAsia" w:ascii="宋体" w:hAnsi="宋体" w:eastAsia="宋体" w:cs="宋体"/>
              <w:sz w:val="24"/>
              <w:szCs w:val="24"/>
            </w:rPr>
            <w:tab/>
          </w:r>
          <w:r>
            <w:rPr>
              <w:rFonts w:hint="eastAsia" w:ascii="宋体" w:hAnsi="宋体" w:eastAsia="宋体" w:cs="宋体"/>
              <w:spacing w:val="-65"/>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p w14:paraId="212D232F">
          <w:pPr>
            <w:pStyle w:val="2"/>
            <w:tabs>
              <w:tab w:val="right" w:leader="dot" w:pos="8950"/>
            </w:tabs>
            <w:spacing w:before="306" w:line="222" w:lineRule="auto"/>
            <w:ind w:left="240"/>
            <w:rPr>
              <w:rFonts w:hint="eastAsia" w:ascii="宋体" w:hAnsi="宋体" w:eastAsia="宋体" w:cs="宋体"/>
              <w:sz w:val="24"/>
              <w:szCs w:val="24"/>
            </w:rPr>
          </w:pPr>
          <w:r>
            <w:rPr>
              <w:rFonts w:hint="eastAsia" w:ascii="宋体" w:hAnsi="宋体" w:eastAsia="宋体" w:cs="宋体"/>
              <w:spacing w:val="15"/>
              <w:sz w:val="24"/>
              <w:szCs w:val="24"/>
            </w:rPr>
            <w:t>第三章</w:t>
          </w:r>
          <w:r>
            <w:rPr>
              <w:rFonts w:hint="eastAsia" w:ascii="宋体" w:hAnsi="宋体" w:eastAsia="宋体" w:cs="宋体"/>
              <w:spacing w:val="19"/>
              <w:sz w:val="24"/>
              <w:szCs w:val="24"/>
            </w:rPr>
            <w:t xml:space="preserve">  </w:t>
          </w:r>
          <w:r>
            <w:rPr>
              <w:rFonts w:hint="eastAsia" w:ascii="宋体" w:hAnsi="宋体" w:eastAsia="宋体" w:cs="宋体"/>
              <w:spacing w:val="15"/>
              <w:sz w:val="24"/>
              <w:szCs w:val="24"/>
            </w:rPr>
            <w:t>达成交收</w:t>
          </w:r>
          <w:r>
            <w:rPr>
              <w:rFonts w:hint="eastAsia" w:ascii="宋体" w:hAnsi="宋体" w:eastAsia="宋体" w:cs="宋体"/>
              <w:spacing w:val="-94"/>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"bookmark3"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rPr>
            <w:t>3</w:t>
          </w:r>
          <w:r>
            <w:rPr>
              <w:rFonts w:hint="eastAsia" w:ascii="宋体" w:hAnsi="宋体" w:eastAsia="宋体" w:cs="宋体"/>
              <w:spacing w:val="-3"/>
              <w:sz w:val="24"/>
              <w:szCs w:val="24"/>
            </w:rPr>
            <w:fldChar w:fldCharType="end"/>
          </w:r>
        </w:p>
        <w:p w14:paraId="3420A25D">
          <w:pPr>
            <w:spacing w:line="242" w:lineRule="auto"/>
            <w:rPr>
              <w:rFonts w:hint="eastAsia" w:ascii="宋体" w:hAnsi="宋体" w:eastAsia="宋体" w:cs="宋体"/>
              <w:sz w:val="24"/>
              <w:szCs w:val="24"/>
            </w:rPr>
          </w:pPr>
        </w:p>
        <w:p w14:paraId="448CA6EB">
          <w:pPr>
            <w:pStyle w:val="2"/>
            <w:tabs>
              <w:tab w:val="right" w:leader="dot" w:pos="8917"/>
            </w:tabs>
            <w:spacing w:before="72" w:line="222" w:lineRule="auto"/>
            <w:ind w:left="240"/>
            <w:rPr>
              <w:rFonts w:hint="eastAsia" w:ascii="宋体" w:hAnsi="宋体" w:eastAsia="宋体" w:cs="宋体"/>
              <w:sz w:val="24"/>
              <w:szCs w:val="24"/>
            </w:rPr>
          </w:pPr>
          <w:r>
            <w:rPr>
              <w:rFonts w:hint="eastAsia" w:ascii="宋体" w:hAnsi="宋体" w:eastAsia="宋体" w:cs="宋体"/>
              <w:spacing w:val="20"/>
              <w:sz w:val="24"/>
              <w:szCs w:val="24"/>
            </w:rPr>
            <w:t>第四章  购销合同</w:t>
          </w:r>
          <w:r>
            <w:rPr>
              <w:rFonts w:hint="eastAsia" w:ascii="宋体" w:hAnsi="宋体" w:eastAsia="宋体" w:cs="宋体"/>
              <w:sz w:val="24"/>
              <w:szCs w:val="24"/>
            </w:rPr>
            <w:tab/>
          </w:r>
          <w:r>
            <w:rPr>
              <w:rFonts w:hint="eastAsia" w:ascii="宋体" w:hAnsi="宋体" w:eastAsia="宋体" w:cs="宋体"/>
              <w:spacing w:val="-55"/>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"bookmark4"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p>
        <w:p w14:paraId="5D02EF67">
          <w:pPr>
            <w:pStyle w:val="2"/>
            <w:tabs>
              <w:tab w:val="right" w:leader="dot" w:pos="8937"/>
            </w:tabs>
            <w:spacing w:before="303" w:line="222" w:lineRule="auto"/>
            <w:ind w:left="240"/>
            <w:rPr>
              <w:rFonts w:hint="eastAsia" w:ascii="宋体" w:hAnsi="宋体" w:eastAsia="宋体" w:cs="宋体"/>
              <w:sz w:val="24"/>
              <w:szCs w:val="24"/>
            </w:rPr>
          </w:pPr>
          <w:r>
            <w:rPr>
              <w:rFonts w:hint="eastAsia" w:ascii="宋体" w:hAnsi="宋体" w:eastAsia="宋体" w:cs="宋体"/>
              <w:spacing w:val="18"/>
              <w:sz w:val="24"/>
              <w:szCs w:val="24"/>
            </w:rPr>
            <w:t xml:space="preserve">第五章  </w:t>
          </w:r>
          <w:r>
            <w:rPr>
              <w:rFonts w:hint="eastAsia" w:ascii="宋体" w:hAnsi="宋体" w:eastAsia="宋体" w:cs="宋体"/>
              <w:spacing w:val="18"/>
              <w:sz w:val="24"/>
              <w:szCs w:val="24"/>
              <w:lang w:val="en-US" w:eastAsia="zh-CN"/>
            </w:rPr>
            <w:t>费用说明</w:t>
          </w:r>
          <w:r>
            <w:rPr>
              <w:rFonts w:hint="eastAsia" w:ascii="宋体" w:hAnsi="宋体" w:eastAsia="宋体" w:cs="宋体"/>
              <w:sz w:val="24"/>
              <w:szCs w:val="24"/>
            </w:rPr>
            <w:tab/>
          </w:r>
          <w:r>
            <w:rPr>
              <w:rFonts w:hint="eastAsia" w:ascii="宋体" w:hAnsi="宋体" w:eastAsia="宋体" w:cs="宋体"/>
              <w:sz w:val="24"/>
              <w:szCs w:val="24"/>
              <w:lang w:val="en-US" w:eastAsia="zh-CN"/>
            </w:rPr>
            <w:t>7</w:t>
          </w:r>
        </w:p>
        <w:p w14:paraId="66B42B4A">
          <w:pPr>
            <w:pStyle w:val="2"/>
            <w:tabs>
              <w:tab w:val="right" w:leader="dot" w:pos="8937"/>
            </w:tabs>
            <w:spacing w:before="303" w:beforeLines="0" w:afterLines="0" w:line="222" w:lineRule="auto"/>
            <w:ind w:left="240"/>
            <w:rPr>
              <w:rFonts w:hint="eastAsia" w:ascii="宋体" w:hAnsi="宋体" w:eastAsia="宋体" w:cs="宋体"/>
              <w:spacing w:val="28"/>
              <w:sz w:val="24"/>
              <w:szCs w:val="24"/>
            </w:rPr>
          </w:pPr>
          <w:r>
            <w:rPr>
              <w:rFonts w:hint="eastAsia" w:ascii="宋体" w:hAnsi="宋体" w:eastAsia="宋体" w:cs="宋体"/>
              <w:spacing w:val="18"/>
              <w:sz w:val="24"/>
              <w:szCs w:val="24"/>
            </w:rPr>
            <w:t>第</w:t>
          </w:r>
          <w:r>
            <w:rPr>
              <w:rFonts w:hint="eastAsia" w:ascii="宋体" w:hAnsi="宋体" w:eastAsia="宋体" w:cs="宋体"/>
              <w:spacing w:val="18"/>
              <w:sz w:val="24"/>
              <w:szCs w:val="24"/>
              <w:lang w:val="en-US" w:eastAsia="zh-CN"/>
            </w:rPr>
            <w:t>六</w:t>
          </w:r>
          <w:r>
            <w:rPr>
              <w:rFonts w:hint="eastAsia" w:ascii="宋体" w:hAnsi="宋体" w:eastAsia="宋体" w:cs="宋体"/>
              <w:spacing w:val="18"/>
              <w:sz w:val="24"/>
              <w:szCs w:val="24"/>
            </w:rPr>
            <w:t>章  溢短</w:t>
          </w:r>
          <w:r>
            <w:rPr>
              <w:rFonts w:hint="eastAsia" w:ascii="宋体" w:hAnsi="宋体" w:eastAsia="宋体" w:cs="宋体"/>
              <w:spacing w:val="18"/>
              <w:sz w:val="24"/>
              <w:szCs w:val="24"/>
              <w:lang w:eastAsia="zh-CN"/>
            </w:rPr>
            <w:t>核算</w:t>
          </w:r>
          <w:r>
            <w:rPr>
              <w:rFonts w:hint="eastAsia" w:ascii="宋体" w:hAnsi="宋体" w:eastAsia="宋体" w:cs="宋体"/>
              <w:spacing w:val="-94"/>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lang w:eastAsia="zh-CN"/>
            </w:rPr>
            <w:t>7</w:t>
          </w:r>
        </w:p>
        <w:p w14:paraId="47C12257">
          <w:pPr>
            <w:pStyle w:val="2"/>
            <w:tabs>
              <w:tab w:val="right" w:leader="dot" w:pos="8927"/>
            </w:tabs>
            <w:spacing w:before="297" w:line="222" w:lineRule="auto"/>
            <w:ind w:left="240"/>
            <w:rPr>
              <w:rFonts w:hint="eastAsia" w:ascii="宋体" w:hAnsi="宋体" w:eastAsia="宋体" w:cs="宋体"/>
              <w:sz w:val="24"/>
              <w:szCs w:val="24"/>
            </w:rPr>
          </w:pPr>
          <w:r>
            <w:rPr>
              <w:rFonts w:hint="eastAsia" w:ascii="宋体" w:hAnsi="宋体" w:eastAsia="宋体" w:cs="宋体"/>
              <w:spacing w:val="28"/>
              <w:sz w:val="24"/>
              <w:szCs w:val="24"/>
            </w:rPr>
            <w:t>第</w:t>
          </w:r>
          <w:r>
            <w:rPr>
              <w:rFonts w:hint="eastAsia" w:ascii="宋体" w:hAnsi="宋体" w:eastAsia="宋体" w:cs="宋体"/>
              <w:spacing w:val="28"/>
              <w:sz w:val="24"/>
              <w:szCs w:val="24"/>
              <w:lang w:val="en-US" w:eastAsia="zh-CN"/>
            </w:rPr>
            <w:t>七</w:t>
          </w:r>
          <w:r>
            <w:rPr>
              <w:rFonts w:hint="eastAsia" w:ascii="宋体" w:hAnsi="宋体" w:eastAsia="宋体" w:cs="宋体"/>
              <w:spacing w:val="28"/>
              <w:sz w:val="24"/>
              <w:szCs w:val="24"/>
            </w:rPr>
            <w:t>章</w:t>
          </w:r>
          <w:r>
            <w:rPr>
              <w:rFonts w:hint="eastAsia" w:ascii="宋体" w:hAnsi="宋体" w:eastAsia="宋体" w:cs="宋体"/>
              <w:spacing w:val="42"/>
              <w:sz w:val="24"/>
              <w:szCs w:val="24"/>
            </w:rPr>
            <w:t xml:space="preserve"> </w:t>
          </w:r>
          <w:r>
            <w:rPr>
              <w:rFonts w:hint="eastAsia" w:ascii="宋体" w:hAnsi="宋体" w:eastAsia="宋体" w:cs="宋体"/>
              <w:spacing w:val="28"/>
              <w:sz w:val="24"/>
              <w:szCs w:val="24"/>
            </w:rPr>
            <w:t>争议与违约处理</w:t>
          </w:r>
          <w:r>
            <w:rPr>
              <w:rFonts w:hint="eastAsia" w:ascii="宋体" w:hAnsi="宋体" w:eastAsia="宋体" w:cs="宋体"/>
              <w:spacing w:val="-94"/>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"bookmark6" </w:instrText>
          </w:r>
          <w:r>
            <w:rPr>
              <w:rFonts w:hint="eastAsia" w:ascii="宋体" w:hAnsi="宋体" w:eastAsia="宋体" w:cs="宋体"/>
              <w:sz w:val="24"/>
              <w:szCs w:val="24"/>
            </w:rPr>
            <w:fldChar w:fldCharType="separate"/>
          </w:r>
          <w:r>
            <w:rPr>
              <w:rFonts w:hint="eastAsia" w:ascii="宋体" w:hAnsi="宋体" w:eastAsia="宋体" w:cs="宋体"/>
              <w:spacing w:val="12"/>
              <w:sz w:val="24"/>
              <w:szCs w:val="24"/>
            </w:rPr>
            <w:t>8</w:t>
          </w:r>
          <w:r>
            <w:rPr>
              <w:rFonts w:hint="eastAsia" w:ascii="宋体" w:hAnsi="宋体" w:eastAsia="宋体" w:cs="宋体"/>
              <w:spacing w:val="12"/>
              <w:sz w:val="24"/>
              <w:szCs w:val="24"/>
            </w:rPr>
            <w:fldChar w:fldCharType="end"/>
          </w:r>
        </w:p>
        <w:p w14:paraId="03A8A503">
          <w:pPr>
            <w:pStyle w:val="2"/>
            <w:tabs>
              <w:tab w:val="right" w:leader="dot" w:pos="8904"/>
            </w:tabs>
            <w:spacing w:before="306" w:line="222" w:lineRule="auto"/>
            <w:ind w:left="240"/>
            <w:rPr>
              <w:rFonts w:hint="eastAsia" w:ascii="宋体" w:hAnsi="宋体" w:eastAsia="宋体" w:cs="宋体"/>
              <w:sz w:val="24"/>
              <w:szCs w:val="24"/>
            </w:rPr>
          </w:pPr>
          <w:r>
            <w:rPr>
              <w:rFonts w:hint="eastAsia" w:ascii="宋体" w:hAnsi="宋体" w:eastAsia="宋体" w:cs="宋体"/>
              <w:spacing w:val="2"/>
              <w:sz w:val="24"/>
              <w:szCs w:val="24"/>
            </w:rPr>
            <w:t>第</w:t>
          </w:r>
          <w:r>
            <w:rPr>
              <w:rFonts w:hint="eastAsia" w:ascii="宋体" w:hAnsi="宋体" w:eastAsia="宋体" w:cs="宋体"/>
              <w:spacing w:val="19"/>
              <w:sz w:val="24"/>
              <w:szCs w:val="24"/>
              <w:lang w:val="en-US" w:eastAsia="zh-CN"/>
            </w:rPr>
            <w:t>八</w:t>
          </w:r>
          <w:r>
            <w:rPr>
              <w:rFonts w:hint="eastAsia" w:ascii="宋体" w:hAnsi="宋体" w:eastAsia="宋体" w:cs="宋体"/>
              <w:spacing w:val="2"/>
              <w:sz w:val="24"/>
              <w:szCs w:val="24"/>
            </w:rPr>
            <w:t>章</w:t>
          </w:r>
          <w:r>
            <w:rPr>
              <w:rFonts w:hint="eastAsia" w:ascii="宋体" w:hAnsi="宋体" w:eastAsia="宋体" w:cs="宋体"/>
              <w:spacing w:val="19"/>
              <w:sz w:val="24"/>
              <w:szCs w:val="24"/>
            </w:rPr>
            <w:t xml:space="preserve"> </w:t>
          </w:r>
          <w:r>
            <w:rPr>
              <w:rFonts w:hint="eastAsia" w:ascii="宋体" w:hAnsi="宋体" w:eastAsia="宋体" w:cs="宋体"/>
              <w:spacing w:val="19"/>
              <w:sz w:val="24"/>
              <w:szCs w:val="24"/>
              <w:lang w:val="en-US" w:eastAsia="zh-CN"/>
            </w:rPr>
            <w:t xml:space="preserve"> </w:t>
          </w:r>
          <w:r>
            <w:rPr>
              <w:rFonts w:hint="eastAsia" w:ascii="宋体" w:hAnsi="宋体" w:eastAsia="宋体" w:cs="宋体"/>
              <w:spacing w:val="2"/>
              <w:sz w:val="24"/>
              <w:szCs w:val="24"/>
            </w:rPr>
            <w:t>附</w:t>
          </w:r>
          <w:r>
            <w:rPr>
              <w:rFonts w:hint="eastAsia" w:ascii="宋体" w:hAnsi="宋体" w:eastAsia="宋体" w:cs="宋体"/>
              <w:spacing w:val="-22"/>
              <w:sz w:val="24"/>
              <w:szCs w:val="24"/>
            </w:rPr>
            <w:t xml:space="preserve"> </w:t>
          </w:r>
          <w:r>
            <w:rPr>
              <w:rFonts w:hint="eastAsia" w:ascii="宋体" w:hAnsi="宋体" w:eastAsia="宋体" w:cs="宋体"/>
              <w:spacing w:val="2"/>
              <w:sz w:val="24"/>
              <w:szCs w:val="24"/>
            </w:rPr>
            <w:t>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"bookmark7" </w:instrText>
          </w:r>
          <w:r>
            <w:rPr>
              <w:rFonts w:hint="eastAsia" w:ascii="宋体" w:hAnsi="宋体" w:eastAsia="宋体" w:cs="宋体"/>
              <w:sz w:val="24"/>
              <w:szCs w:val="24"/>
            </w:rPr>
            <w:fldChar w:fldCharType="separate"/>
          </w:r>
          <w:r>
            <w:rPr>
              <w:rFonts w:hint="eastAsia" w:ascii="宋体" w:hAnsi="宋体" w:eastAsia="宋体" w:cs="宋体"/>
              <w:spacing w:val="-8"/>
              <w:sz w:val="24"/>
              <w:szCs w:val="24"/>
            </w:rPr>
            <w:t>10</w:t>
          </w:r>
          <w:r>
            <w:rPr>
              <w:rFonts w:hint="eastAsia" w:ascii="宋体" w:hAnsi="宋体" w:eastAsia="宋体" w:cs="宋体"/>
              <w:spacing w:val="-8"/>
              <w:sz w:val="24"/>
              <w:szCs w:val="24"/>
            </w:rPr>
            <w:fldChar w:fldCharType="end"/>
          </w:r>
        </w:p>
      </w:sdtContent>
    </w:sdt>
    <w:p w14:paraId="46EA61E7">
      <w:pPr>
        <w:spacing w:line="222" w:lineRule="auto"/>
        <w:rPr>
          <w:rFonts w:hint="eastAsia" w:ascii="宋体" w:hAnsi="宋体" w:eastAsia="宋体" w:cs="宋体"/>
          <w:sz w:val="24"/>
          <w:szCs w:val="24"/>
        </w:rPr>
        <w:sectPr>
          <w:footerReference r:id="rId3" w:type="default"/>
          <w:pgSz w:w="11920" w:h="17040"/>
          <w:pgMar w:top="2098" w:right="1474" w:bottom="1984" w:left="1587" w:header="0" w:footer="1075" w:gutter="0"/>
          <w:pgNumType w:fmt="decimal"/>
          <w:cols w:space="720" w:num="1"/>
        </w:sectPr>
      </w:pPr>
    </w:p>
    <w:p w14:paraId="3B8A49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B65BC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59EB52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AFD0C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第一条</w:t>
      </w:r>
      <w:r>
        <w:rPr>
          <w:rFonts w:hint="eastAsia" w:ascii="仿宋" w:hAnsi="仿宋" w:eastAsia="仿宋" w:cs="仿宋"/>
          <w:sz w:val="32"/>
          <w:szCs w:val="32"/>
        </w:rPr>
        <w:t xml:space="preserve"> 为规范市场参与者在</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(以下简称“交易所”)参与交收业务的行为，维护正常交易秩序，保障参与各方的合法权益，根据国家有关法律、法规制定本管理办法。</w:t>
      </w:r>
    </w:p>
    <w:p w14:paraId="491E41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第二条</w:t>
      </w:r>
      <w:r>
        <w:rPr>
          <w:rFonts w:hint="eastAsia" w:ascii="仿宋" w:hAnsi="仿宋" w:eastAsia="仿宋" w:cs="仿宋"/>
          <w:sz w:val="32"/>
          <w:szCs w:val="32"/>
        </w:rPr>
        <w:t xml:space="preserve"> 本管理办法适用于交易所全体市场参与者及其有关工作人员。</w:t>
      </w:r>
    </w:p>
    <w:p w14:paraId="28A121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8B8BE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交收标的</w:t>
      </w:r>
    </w:p>
    <w:p w14:paraId="176C87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12D47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第三条</w:t>
      </w:r>
      <w:r>
        <w:rPr>
          <w:rFonts w:hint="eastAsia" w:ascii="仿宋" w:hAnsi="仿宋" w:eastAsia="仿宋" w:cs="仿宋"/>
          <w:sz w:val="32"/>
          <w:szCs w:val="32"/>
        </w:rPr>
        <w:t xml:space="preserve"> 交易所交收方式均为实物交收，交收标的为可信电子仓单或现货商品。</w:t>
      </w:r>
    </w:p>
    <w:p w14:paraId="1037CF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第四条</w:t>
      </w:r>
      <w:r>
        <w:rPr>
          <w:rFonts w:hint="eastAsia" w:ascii="仿宋" w:hAnsi="仿宋" w:eastAsia="仿宋" w:cs="仿宋"/>
          <w:sz w:val="32"/>
          <w:szCs w:val="32"/>
        </w:rPr>
        <w:t xml:space="preserve"> 实物交收是指购销双方按照电子购销合同条款约定，在规定的时间内，依据交易所的交易规则规定通过交易平台完成货权转移以及货款支付，履行各自合同义务的行为。</w:t>
      </w:r>
    </w:p>
    <w:p w14:paraId="19AAFC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第五条 </w:t>
      </w:r>
      <w:r>
        <w:rPr>
          <w:rFonts w:hint="eastAsia" w:ascii="仿宋" w:hAnsi="仿宋" w:eastAsia="仿宋" w:cs="仿宋"/>
          <w:sz w:val="32"/>
          <w:szCs w:val="32"/>
        </w:rPr>
        <w:t>可信电子仓单，是指市场参与企业在交易所开展业务时，将商品运送到交易所指定交收仓(厂)库，由指定交收仓(厂)库检验合格后注册的，</w:t>
      </w:r>
      <w:r>
        <w:rPr>
          <w:rFonts w:hint="eastAsia" w:ascii="仿宋" w:hAnsi="仿宋" w:eastAsia="仿宋" w:cs="仿宋"/>
          <w:sz w:val="32"/>
          <w:szCs w:val="32"/>
          <w:lang w:val="en-US" w:eastAsia="zh-CN"/>
        </w:rPr>
        <w:t>符合</w:t>
      </w:r>
      <w:r>
        <w:rPr>
          <w:rFonts w:hint="eastAsia" w:ascii="仿宋" w:hAnsi="仿宋" w:eastAsia="仿宋" w:cs="仿宋"/>
          <w:sz w:val="32"/>
          <w:szCs w:val="32"/>
        </w:rPr>
        <w:t>交易所质量标准的能代表一定商品数量和质量的有效凭证。可信电子仓单的管理见《</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可信电子仓单管理办法》。</w:t>
      </w:r>
    </w:p>
    <w:p w14:paraId="57BEBB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第六条</w:t>
      </w:r>
      <w:r>
        <w:rPr>
          <w:rFonts w:hint="eastAsia" w:ascii="仿宋" w:hAnsi="仿宋" w:eastAsia="仿宋" w:cs="仿宋"/>
          <w:sz w:val="32"/>
          <w:szCs w:val="32"/>
        </w:rPr>
        <w:t xml:space="preserve"> 可信电子仓单交收是指交易双方在交易所达成交易后，卖方将交易所可信电子仓单过户给买方的交收方式。若卖方已提交并冻结足额可信电子仓单则无需再冻结卖方履约订金。</w:t>
      </w:r>
    </w:p>
    <w:p w14:paraId="4BFF8E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第七条 </w:t>
      </w:r>
      <w:r>
        <w:rPr>
          <w:rFonts w:hint="eastAsia" w:ascii="仿宋" w:hAnsi="仿宋" w:eastAsia="仿宋" w:cs="仿宋"/>
          <w:sz w:val="32"/>
          <w:szCs w:val="32"/>
        </w:rPr>
        <w:t>现货商品交收是指交易双方在交易所达成交易后，卖方将现货商品的货权转移给买方的交收方式。</w:t>
      </w:r>
    </w:p>
    <w:p w14:paraId="04E49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B8647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达成交收</w:t>
      </w:r>
    </w:p>
    <w:p w14:paraId="0C885E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1BB6D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第八条</w:t>
      </w:r>
      <w:r>
        <w:rPr>
          <w:rFonts w:hint="eastAsia" w:ascii="仿宋" w:hAnsi="仿宋" w:eastAsia="仿宋" w:cs="仿宋"/>
          <w:sz w:val="32"/>
          <w:szCs w:val="32"/>
        </w:rPr>
        <w:t xml:space="preserve"> 交易所交收主要包括达成交收以及购销合同执行两个阶段。</w:t>
      </w:r>
    </w:p>
    <w:p w14:paraId="584A36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第九条</w:t>
      </w:r>
      <w:r>
        <w:rPr>
          <w:rFonts w:hint="eastAsia" w:ascii="仿宋" w:hAnsi="仿宋" w:eastAsia="仿宋" w:cs="仿宋"/>
          <w:sz w:val="32"/>
          <w:szCs w:val="32"/>
        </w:rPr>
        <w:t xml:space="preserve"> 交易所达成交收的方式分为到期交收、提前交收及即时交收三种方式。</w:t>
      </w:r>
    </w:p>
    <w:p w14:paraId="19C263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第十条</w:t>
      </w:r>
      <w:r>
        <w:rPr>
          <w:rFonts w:hint="eastAsia" w:ascii="仿宋" w:hAnsi="仿宋" w:eastAsia="仿宋" w:cs="仿宋"/>
          <w:sz w:val="32"/>
          <w:szCs w:val="32"/>
        </w:rPr>
        <w:t xml:space="preserve"> 到期交收，是指在最后交易日结束后，由已达成交易的买卖双方集中签订电子购销合同并完成交收的方式。达成交收后，买卖双方原交易订单了结。</w:t>
      </w:r>
    </w:p>
    <w:p w14:paraId="5835C0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第十一条 </w:t>
      </w:r>
      <w:r>
        <w:rPr>
          <w:rFonts w:hint="eastAsia" w:ascii="仿宋" w:hAnsi="仿宋" w:eastAsia="仿宋" w:cs="仿宋"/>
          <w:sz w:val="32"/>
          <w:szCs w:val="32"/>
        </w:rPr>
        <w:t xml:space="preserve"> 提前交收，是指买卖双方达成交易后，在最后交易日结束前，可随时申请交收的方式。达成交收后，买卖双方原交易订单了结并生成电子购销合同。</w:t>
      </w:r>
    </w:p>
    <w:p w14:paraId="07183C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第十二条 </w:t>
      </w:r>
      <w:r>
        <w:rPr>
          <w:rFonts w:hint="eastAsia" w:ascii="仿宋" w:hAnsi="仿宋" w:eastAsia="仿宋" w:cs="仿宋"/>
          <w:sz w:val="32"/>
          <w:szCs w:val="32"/>
        </w:rPr>
        <w:t xml:space="preserve"> 即时交收，是指买卖双方达成交易后立刻进入交收，并生成电子购销合同进入交收环节的方式。</w:t>
      </w:r>
    </w:p>
    <w:p w14:paraId="424434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第十三条</w:t>
      </w:r>
      <w:r>
        <w:rPr>
          <w:rFonts w:hint="eastAsia" w:ascii="仿宋" w:hAnsi="仿宋" w:eastAsia="仿宋" w:cs="仿宋"/>
          <w:sz w:val="32"/>
          <w:szCs w:val="32"/>
        </w:rPr>
        <w:t xml:space="preserve">  电子购销合同模板由交易所确定，并在买卖双方达成交收时</w:t>
      </w:r>
      <w:r>
        <w:rPr>
          <w:rFonts w:hint="eastAsia" w:ascii="仿宋" w:hAnsi="仿宋" w:eastAsia="仿宋" w:cs="仿宋"/>
          <w:sz w:val="32"/>
          <w:szCs w:val="32"/>
          <w:lang w:val="en-US" w:eastAsia="zh-CN"/>
        </w:rPr>
        <w:t>系统自动</w:t>
      </w:r>
      <w:r>
        <w:rPr>
          <w:rFonts w:hint="eastAsia" w:ascii="仿宋" w:hAnsi="仿宋" w:eastAsia="仿宋" w:cs="仿宋"/>
          <w:sz w:val="32"/>
          <w:szCs w:val="32"/>
        </w:rPr>
        <w:t>生成电子版购销合同，买卖双方可在交易平台交易账户的合同管理中查看。</w:t>
      </w:r>
    </w:p>
    <w:p w14:paraId="2AA908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01D7A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购销合同</w:t>
      </w:r>
    </w:p>
    <w:p w14:paraId="2AF87D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58360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第十四条</w:t>
      </w:r>
      <w:r>
        <w:rPr>
          <w:rFonts w:hint="eastAsia" w:ascii="仿宋" w:hAnsi="仿宋" w:eastAsia="仿宋" w:cs="仿宋"/>
          <w:sz w:val="32"/>
          <w:szCs w:val="32"/>
        </w:rPr>
        <w:t xml:space="preserve"> 购销合同的执行</w:t>
      </w:r>
      <w:r>
        <w:rPr>
          <w:rFonts w:hint="eastAsia" w:ascii="仿宋" w:hAnsi="仿宋" w:eastAsia="仿宋" w:cs="仿宋"/>
          <w:sz w:val="32"/>
          <w:szCs w:val="32"/>
          <w:lang w:val="en-US" w:eastAsia="zh-CN"/>
        </w:rPr>
        <w:t>流程</w:t>
      </w:r>
      <w:r>
        <w:rPr>
          <w:rFonts w:hint="eastAsia" w:ascii="仿宋" w:hAnsi="仿宋" w:eastAsia="仿宋" w:cs="仿宋"/>
          <w:sz w:val="32"/>
          <w:szCs w:val="32"/>
        </w:rPr>
        <w:t>包括合同签订、货款支付、货权转移、发票开具四个</w:t>
      </w:r>
      <w:r>
        <w:rPr>
          <w:rFonts w:hint="eastAsia" w:ascii="仿宋" w:hAnsi="仿宋" w:eastAsia="仿宋" w:cs="仿宋"/>
          <w:sz w:val="32"/>
          <w:szCs w:val="32"/>
          <w:lang w:val="en-US" w:eastAsia="zh-CN"/>
        </w:rPr>
        <w:t>环节</w:t>
      </w:r>
      <w:r>
        <w:rPr>
          <w:rFonts w:hint="eastAsia" w:ascii="仿宋" w:hAnsi="仿宋" w:eastAsia="仿宋" w:cs="仿宋"/>
          <w:sz w:val="32"/>
          <w:szCs w:val="32"/>
        </w:rPr>
        <w:t>，为便于表述，将购销合同生成日定义为 D1 交收日，</w:t>
      </w:r>
      <w:r>
        <w:rPr>
          <w:rFonts w:hint="eastAsia" w:ascii="仿宋" w:hAnsi="仿宋" w:eastAsia="仿宋" w:cs="仿宋"/>
          <w:sz w:val="32"/>
          <w:szCs w:val="32"/>
          <w:lang w:val="en-US" w:eastAsia="zh-CN"/>
        </w:rPr>
        <w:t>其</w:t>
      </w:r>
      <w:r>
        <w:rPr>
          <w:rFonts w:hint="eastAsia" w:ascii="仿宋" w:hAnsi="仿宋" w:eastAsia="仿宋" w:cs="仿宋"/>
          <w:sz w:val="32"/>
          <w:szCs w:val="32"/>
        </w:rPr>
        <w:t>后连续十四个工作日</w:t>
      </w:r>
      <w:r>
        <w:rPr>
          <w:rFonts w:hint="eastAsia" w:ascii="仿宋" w:hAnsi="仿宋" w:eastAsia="仿宋" w:cs="仿宋"/>
          <w:sz w:val="32"/>
          <w:szCs w:val="32"/>
          <w:lang w:val="en-US" w:eastAsia="zh-CN"/>
        </w:rPr>
        <w:t>依次</w:t>
      </w:r>
      <w:r>
        <w:rPr>
          <w:rFonts w:hint="eastAsia" w:ascii="仿宋" w:hAnsi="仿宋" w:eastAsia="仿宋" w:cs="仿宋"/>
          <w:sz w:val="32"/>
          <w:szCs w:val="32"/>
        </w:rPr>
        <w:t>记为D2、D3、…、D15 交收日。</w:t>
      </w:r>
    </w:p>
    <w:p w14:paraId="3C7400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第十五条</w:t>
      </w:r>
      <w:r>
        <w:rPr>
          <w:rFonts w:hint="eastAsia" w:ascii="仿宋" w:hAnsi="仿宋" w:eastAsia="仿宋" w:cs="仿宋"/>
          <w:sz w:val="32"/>
          <w:szCs w:val="32"/>
        </w:rPr>
        <w:t xml:space="preserve">  合同签订，购销合同生成后买卖双方可选择在交易所系统中上传双方盖章确认的购销合同扫描件或通过电子签名签订电子合同，也可选择线下自行完成交收事宜。若D2交收日11:30前，双方未上传双方盖章确认的购销合同或</w:t>
      </w:r>
      <w:r>
        <w:rPr>
          <w:rFonts w:hint="eastAsia" w:ascii="仿宋" w:hAnsi="仿宋" w:eastAsia="仿宋" w:cs="仿宋"/>
          <w:sz w:val="32"/>
          <w:szCs w:val="32"/>
          <w:lang w:val="en-US" w:eastAsia="zh-CN"/>
        </w:rPr>
        <w:t>未</w:t>
      </w:r>
      <w:r>
        <w:rPr>
          <w:rFonts w:hint="eastAsia" w:ascii="仿宋" w:hAnsi="仿宋" w:eastAsia="仿宋" w:cs="仿宋"/>
          <w:sz w:val="32"/>
          <w:szCs w:val="32"/>
        </w:rPr>
        <w:t>完成电子合同签约，将视为双方选择线下自行完成交收，交易所不再监管此次交收流程，双方</w:t>
      </w:r>
      <w:r>
        <w:rPr>
          <w:rFonts w:hint="eastAsia" w:ascii="仿宋" w:hAnsi="仿宋" w:eastAsia="仿宋" w:cs="仿宋"/>
          <w:sz w:val="32"/>
          <w:szCs w:val="32"/>
          <w:lang w:val="en-US" w:eastAsia="zh-CN"/>
        </w:rPr>
        <w:t>由此</w:t>
      </w:r>
      <w:r>
        <w:rPr>
          <w:rFonts w:hint="eastAsia" w:ascii="仿宋" w:hAnsi="仿宋" w:eastAsia="仿宋" w:cs="仿宋"/>
          <w:sz w:val="32"/>
          <w:szCs w:val="32"/>
        </w:rPr>
        <w:t>产生</w:t>
      </w:r>
      <w:r>
        <w:rPr>
          <w:rFonts w:hint="eastAsia" w:ascii="仿宋" w:hAnsi="仿宋" w:eastAsia="仿宋" w:cs="仿宋"/>
          <w:sz w:val="32"/>
          <w:szCs w:val="32"/>
          <w:lang w:val="en-US" w:eastAsia="zh-CN"/>
        </w:rPr>
        <w:t>的一切</w:t>
      </w:r>
      <w:r>
        <w:rPr>
          <w:rFonts w:hint="eastAsia" w:ascii="仿宋" w:hAnsi="仿宋" w:eastAsia="仿宋" w:cs="仿宋"/>
          <w:sz w:val="32"/>
          <w:szCs w:val="32"/>
        </w:rPr>
        <w:t>纠纷由双方自行解决。</w:t>
      </w:r>
    </w:p>
    <w:p w14:paraId="76FB3C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第十六条 </w:t>
      </w:r>
      <w:r>
        <w:rPr>
          <w:rFonts w:hint="eastAsia" w:ascii="仿宋" w:hAnsi="仿宋" w:eastAsia="仿宋" w:cs="仿宋"/>
          <w:sz w:val="32"/>
          <w:szCs w:val="32"/>
        </w:rPr>
        <w:t xml:space="preserve"> 货款支付，若双方选择线上交收，买方需在D5交收日闭市前完成全部货款支付。买方可分批支付货款，且可选择线上或线下两种方式支付货款。</w:t>
      </w:r>
    </w:p>
    <w:p w14:paraId="1F70A1DA">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买方线上支付的货款，将由交易所冻结在交易平台中，并根据货权转移进度，按货权转移完成比例支付给卖方；</w:t>
      </w:r>
    </w:p>
    <w:p w14:paraId="1B18E206">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买方线下支付的货款，需上传支付凭证扫描件，并在卖方确认后</w:t>
      </w:r>
      <w:r>
        <w:rPr>
          <w:rFonts w:hint="eastAsia" w:ascii="仿宋" w:hAnsi="仿宋" w:eastAsia="仿宋" w:cs="仿宋"/>
          <w:sz w:val="32"/>
          <w:szCs w:val="32"/>
          <w:lang w:val="en-US" w:eastAsia="zh-CN"/>
        </w:rPr>
        <w:t>视</w:t>
      </w:r>
      <w:r>
        <w:rPr>
          <w:rFonts w:hint="eastAsia" w:ascii="仿宋" w:hAnsi="仿宋" w:eastAsia="仿宋" w:cs="仿宋"/>
          <w:sz w:val="32"/>
          <w:szCs w:val="32"/>
        </w:rPr>
        <w:t>为已支付货款。在买方上传支付凭证3个工作日后，卖方仍未确认的线下支付，则视为卖方已确认收款；</w:t>
      </w:r>
    </w:p>
    <w:p w14:paraId="7B9B47E4">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交易环节冻结的买方订金作为首批冻结货款；</w:t>
      </w:r>
    </w:p>
    <w:p w14:paraId="6393E383">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 买方线上支付的部分货款将作为开票订金冻结，冻结金额= 合同金额×开票订金标准，开票订金标准见交易所各产品的《业务参数表》。开票订金在卖方完成开票并由买方确认后支付给卖方；</w:t>
      </w:r>
    </w:p>
    <w:p w14:paraId="132189EE">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5. 完成交收后，退还买方</w:t>
      </w:r>
      <w:r>
        <w:rPr>
          <w:rFonts w:hint="eastAsia" w:ascii="仿宋" w:hAnsi="仿宋" w:eastAsia="仿宋" w:cs="仿宋"/>
          <w:sz w:val="32"/>
          <w:szCs w:val="32"/>
          <w:lang w:val="en-US" w:eastAsia="zh-CN"/>
        </w:rPr>
        <w:t>其</w:t>
      </w:r>
      <w:r>
        <w:rPr>
          <w:rFonts w:hint="eastAsia" w:ascii="仿宋" w:hAnsi="仿宋" w:eastAsia="仿宋" w:cs="仿宋"/>
          <w:sz w:val="32"/>
          <w:szCs w:val="32"/>
        </w:rPr>
        <w:t>多余的冻结货款。</w:t>
      </w:r>
    </w:p>
    <w:p w14:paraId="437D01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第十七条</w:t>
      </w:r>
      <w:r>
        <w:rPr>
          <w:rFonts w:hint="eastAsia" w:ascii="仿宋" w:hAnsi="仿宋" w:eastAsia="仿宋" w:cs="仿宋"/>
          <w:sz w:val="32"/>
          <w:szCs w:val="32"/>
        </w:rPr>
        <w:t xml:space="preserve">  货权转移，根据交收标的不同货权转移可分为可信电子仓单交收和现货商品交收两种。卖方需在D5交收日闭市前，在交易平台完成全部现货备货确认或全部可信电子仓单提交。</w:t>
      </w:r>
    </w:p>
    <w:p w14:paraId="3535AB92">
      <w:pPr>
        <w:keepNext w:val="0"/>
        <w:keepLines w:val="0"/>
        <w:pageBreakBefore w:val="0"/>
        <w:widowControl w:val="0"/>
        <w:kinsoku/>
        <w:wordWrap/>
        <w:overflowPunct/>
        <w:topLinePunct w:val="0"/>
        <w:autoSpaceDE/>
        <w:autoSpaceDN/>
        <w:bidi w:val="0"/>
        <w:adjustRightInd/>
        <w:snapToGrid/>
        <w:spacing w:line="560" w:lineRule="exact"/>
        <w:ind w:left="420" w:leftChars="20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可信电子仓单交收：</w:t>
      </w:r>
    </w:p>
    <w:p w14:paraId="13937792">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可信电子仓单交收，卖方需按购销合同提交仓单，仓单可以一次性全部提交也可以分批提交；</w:t>
      </w:r>
    </w:p>
    <w:p w14:paraId="77830AB8">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已提交的仓单将被冻结，并根据买方货款支付的进度，按货款支付比例由交易所过户给买方。</w:t>
      </w:r>
    </w:p>
    <w:p w14:paraId="4D471E7B">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现货商品交收：</w:t>
      </w:r>
    </w:p>
    <w:p w14:paraId="6B752CF3">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卖方备货，卖方完成备货后需在交易平台中上传备货凭证并确认备货，交易所允许卖方一次性完成备货或分批完成备货；</w:t>
      </w:r>
    </w:p>
    <w:p w14:paraId="1AFD69E9">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买方验货，买方完成验货并办理货权转移手续后需在交易平台确认验货；</w:t>
      </w:r>
    </w:p>
    <w:p w14:paraId="6F01FB11">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交易所根据验货进度，将卖方已冻结的交收订金按验货比例退还给卖方；</w:t>
      </w:r>
    </w:p>
    <w:p w14:paraId="15E71C4A">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 若卖方上传备货凭证后5个工作日内，买方未完成确认的，则视为买方已验货。</w:t>
      </w:r>
    </w:p>
    <w:p w14:paraId="49993E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第十八条</w:t>
      </w:r>
      <w:r>
        <w:rPr>
          <w:rFonts w:hint="eastAsia" w:ascii="仿宋" w:hAnsi="仿宋" w:eastAsia="仿宋" w:cs="仿宋"/>
          <w:sz w:val="32"/>
          <w:szCs w:val="32"/>
        </w:rPr>
        <w:t xml:space="preserve">  发票开具，D15 交收日前卖方需根据买方提供的开票信息开具对应的增值税专用发票，并在交易平台</w:t>
      </w:r>
      <w:r>
        <w:rPr>
          <w:rFonts w:hint="eastAsia" w:ascii="仿宋" w:hAnsi="仿宋" w:eastAsia="仿宋" w:cs="仿宋"/>
          <w:sz w:val="32"/>
          <w:szCs w:val="32"/>
          <w:lang w:val="en-US" w:eastAsia="zh-CN"/>
        </w:rPr>
        <w:t>进行开票</w:t>
      </w:r>
      <w:r>
        <w:rPr>
          <w:rFonts w:hint="eastAsia" w:ascii="仿宋" w:hAnsi="仿宋" w:eastAsia="仿宋" w:cs="仿宋"/>
          <w:sz w:val="32"/>
          <w:szCs w:val="32"/>
        </w:rPr>
        <w:t>确认。买方收到发票</w:t>
      </w:r>
      <w:r>
        <w:rPr>
          <w:rFonts w:hint="eastAsia" w:ascii="仿宋" w:hAnsi="仿宋" w:eastAsia="仿宋" w:cs="仿宋"/>
          <w:sz w:val="32"/>
          <w:szCs w:val="32"/>
          <w:lang w:val="en-US" w:eastAsia="zh-CN"/>
        </w:rPr>
        <w:t>后应</w:t>
      </w:r>
      <w:r>
        <w:rPr>
          <w:rFonts w:hint="eastAsia" w:ascii="仿宋" w:hAnsi="仿宋" w:eastAsia="仿宋" w:cs="仿宋"/>
          <w:sz w:val="32"/>
          <w:szCs w:val="32"/>
        </w:rPr>
        <w:t>在交易平台</w:t>
      </w:r>
      <w:r>
        <w:rPr>
          <w:rFonts w:hint="eastAsia" w:ascii="仿宋" w:hAnsi="仿宋" w:eastAsia="仿宋" w:cs="仿宋"/>
          <w:sz w:val="32"/>
          <w:szCs w:val="32"/>
          <w:lang w:val="en-US" w:eastAsia="zh-CN"/>
        </w:rPr>
        <w:t>进行收票</w:t>
      </w:r>
      <w:r>
        <w:rPr>
          <w:rFonts w:hint="eastAsia" w:ascii="仿宋" w:hAnsi="仿宋" w:eastAsia="仿宋" w:cs="仿宋"/>
          <w:sz w:val="32"/>
          <w:szCs w:val="32"/>
        </w:rPr>
        <w:t>确认，并将发票存根上传至交易平台。</w:t>
      </w:r>
    </w:p>
    <w:p w14:paraId="4AF80D17">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买方收到发票无异议并在系统中确认后，交易所将释放卖方的开票订金；</w:t>
      </w:r>
    </w:p>
    <w:p w14:paraId="56E1190D">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卖方开具发票并在系统确认后的3 个工作日内交易所未收到买方异议的，</w:t>
      </w:r>
      <w:r>
        <w:rPr>
          <w:rFonts w:hint="eastAsia" w:ascii="仿宋" w:hAnsi="仿宋" w:eastAsia="仿宋" w:cs="仿宋"/>
          <w:sz w:val="32"/>
          <w:szCs w:val="32"/>
          <w:lang w:val="en-US" w:eastAsia="zh-CN"/>
        </w:rPr>
        <w:t>且</w:t>
      </w:r>
      <w:r>
        <w:rPr>
          <w:rFonts w:hint="eastAsia" w:ascii="仿宋" w:hAnsi="仿宋" w:eastAsia="仿宋" w:cs="仿宋"/>
          <w:sz w:val="32"/>
          <w:szCs w:val="32"/>
        </w:rPr>
        <w:t>未收到买方确认信息的，视为买方已确认发票，交易所不再受理发票</w:t>
      </w:r>
      <w:r>
        <w:rPr>
          <w:rFonts w:hint="eastAsia" w:ascii="仿宋" w:hAnsi="仿宋" w:eastAsia="仿宋" w:cs="仿宋"/>
          <w:sz w:val="32"/>
          <w:szCs w:val="32"/>
          <w:lang w:val="en-US" w:eastAsia="zh-CN"/>
        </w:rPr>
        <w:t>相关</w:t>
      </w:r>
      <w:r>
        <w:rPr>
          <w:rFonts w:hint="eastAsia" w:ascii="仿宋" w:hAnsi="仿宋" w:eastAsia="仿宋" w:cs="仿宋"/>
          <w:sz w:val="32"/>
          <w:szCs w:val="32"/>
        </w:rPr>
        <w:t>的争议，并在之后1个工作日内释放卖方的开票订金；</w:t>
      </w:r>
    </w:p>
    <w:p w14:paraId="24161215">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经买卖双方协商</w:t>
      </w:r>
      <w:r>
        <w:rPr>
          <w:rFonts w:hint="eastAsia" w:ascii="仿宋" w:hAnsi="仿宋" w:eastAsia="仿宋" w:cs="仿宋"/>
          <w:sz w:val="32"/>
          <w:szCs w:val="32"/>
          <w:lang w:val="en-US" w:eastAsia="zh-CN"/>
        </w:rPr>
        <w:t>一致</w:t>
      </w:r>
      <w:r>
        <w:rPr>
          <w:rFonts w:hint="eastAsia" w:ascii="仿宋" w:hAnsi="仿宋" w:eastAsia="仿宋" w:cs="仿宋"/>
          <w:sz w:val="32"/>
          <w:szCs w:val="32"/>
        </w:rPr>
        <w:t>，买方同意延期开具发票</w:t>
      </w:r>
      <w:r>
        <w:rPr>
          <w:rFonts w:hint="eastAsia" w:ascii="仿宋" w:hAnsi="仿宋" w:eastAsia="仿宋" w:cs="仿宋"/>
          <w:sz w:val="32"/>
          <w:szCs w:val="32"/>
          <w:lang w:val="en-US" w:eastAsia="zh-CN"/>
        </w:rPr>
        <w:t>的</w:t>
      </w:r>
      <w:r>
        <w:rPr>
          <w:rFonts w:hint="eastAsia" w:ascii="仿宋" w:hAnsi="仿宋" w:eastAsia="仿宋" w:cs="仿宋"/>
          <w:sz w:val="32"/>
          <w:szCs w:val="32"/>
        </w:rPr>
        <w:t>，</w:t>
      </w:r>
      <w:r>
        <w:rPr>
          <w:rFonts w:hint="eastAsia" w:ascii="仿宋" w:hAnsi="仿宋" w:eastAsia="仿宋" w:cs="仿宋"/>
          <w:sz w:val="32"/>
          <w:szCs w:val="32"/>
          <w:lang w:val="en-US" w:eastAsia="zh-CN"/>
        </w:rPr>
        <w:t>交易所</w:t>
      </w:r>
      <w:r>
        <w:rPr>
          <w:rFonts w:hint="eastAsia" w:ascii="仿宋" w:hAnsi="仿宋" w:eastAsia="仿宋" w:cs="仿宋"/>
          <w:sz w:val="32"/>
          <w:szCs w:val="32"/>
        </w:rPr>
        <w:t>不再受理发票</w:t>
      </w:r>
      <w:r>
        <w:rPr>
          <w:rFonts w:hint="eastAsia" w:ascii="仿宋" w:hAnsi="仿宋" w:eastAsia="仿宋" w:cs="仿宋"/>
          <w:sz w:val="32"/>
          <w:szCs w:val="32"/>
          <w:lang w:val="en-US" w:eastAsia="zh-CN"/>
        </w:rPr>
        <w:t>相关</w:t>
      </w:r>
      <w:r>
        <w:rPr>
          <w:rFonts w:hint="eastAsia" w:ascii="仿宋" w:hAnsi="仿宋" w:eastAsia="仿宋" w:cs="仿宋"/>
          <w:sz w:val="32"/>
          <w:szCs w:val="32"/>
        </w:rPr>
        <w:t>的争议，并在之后1个工作日内释放卖方的开票订金。</w:t>
      </w:r>
    </w:p>
    <w:p w14:paraId="4BC9BA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第十九条</w:t>
      </w:r>
      <w:r>
        <w:rPr>
          <w:rFonts w:hint="eastAsia" w:ascii="仿宋" w:hAnsi="仿宋" w:eastAsia="仿宋" w:cs="仿宋"/>
          <w:sz w:val="32"/>
          <w:szCs w:val="32"/>
        </w:rPr>
        <w:t xml:space="preserve">  线下交收，若双方选择线下自行完成交收事宜，交易所不再监管此次交收流程，若双方产生纠纷由双方自行解决。</w:t>
      </w:r>
    </w:p>
    <w:p w14:paraId="3B8085BD">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买卖双方完成线下交收后，需将线下合同、货款支付凭证、货权转移凭证、开票凭证等上传至交易平台并在系统中确认已完成线下交收；</w:t>
      </w:r>
    </w:p>
    <w:p w14:paraId="22F3C235">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双方确认已完成线下交收后，交易所将释放双方冻结订金；</w:t>
      </w:r>
    </w:p>
    <w:p w14:paraId="35AC8C86">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双方确认已完成线下交收后，若交收标的为可信电子仓单，则将卖方已冻结仓单过户给买方；</w:t>
      </w:r>
    </w:p>
    <w:p w14:paraId="70080CE5">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 双方另有约定则按双方约定处理。</w:t>
      </w:r>
    </w:p>
    <w:p w14:paraId="52F8A1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第二十条</w:t>
      </w:r>
      <w:r>
        <w:rPr>
          <w:rFonts w:hint="eastAsia" w:ascii="仿宋" w:hAnsi="仿宋" w:eastAsia="仿宋" w:cs="仿宋"/>
          <w:sz w:val="32"/>
          <w:szCs w:val="32"/>
        </w:rPr>
        <w:t xml:space="preserve">  合同终止，买卖双方可自行协商终止合同，交易所不再监管此次交收流程，若双方产生纠纷由双方自行解决。</w:t>
      </w:r>
    </w:p>
    <w:p w14:paraId="37F8FC8E">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买卖双方协商终止合同后，需将终止协议上传至交易平台，并在系统中进行确认；</w:t>
      </w:r>
    </w:p>
    <w:p w14:paraId="61E629D5">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双方确认终止合同后，交易平台将释放双方冻结订金</w:t>
      </w:r>
      <w:r>
        <w:rPr>
          <w:rFonts w:hint="eastAsia" w:ascii="仿宋" w:hAnsi="仿宋" w:eastAsia="仿宋" w:cs="仿宋"/>
          <w:sz w:val="32"/>
          <w:szCs w:val="32"/>
          <w:lang w:eastAsia="zh-CN"/>
        </w:rPr>
        <w:t>；</w:t>
      </w:r>
    </w:p>
    <w:p w14:paraId="4642702B">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双方确认终止合同后，若交收标的为可信电子仓单，则释放卖方已冻结仓单；</w:t>
      </w:r>
    </w:p>
    <w:p w14:paraId="4E9D696A">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 双方另有约定则按双方约定处理。</w:t>
      </w:r>
    </w:p>
    <w:p w14:paraId="1E2822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C3628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费用说明</w:t>
      </w:r>
    </w:p>
    <w:p w14:paraId="6854EC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F3E3C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第二十一条 </w:t>
      </w:r>
      <w:r>
        <w:rPr>
          <w:rFonts w:hint="eastAsia" w:ascii="仿宋" w:hAnsi="仿宋" w:eastAsia="仿宋" w:cs="仿宋"/>
          <w:sz w:val="32"/>
          <w:szCs w:val="32"/>
        </w:rPr>
        <w:t xml:space="preserve"> 交收过程中的市场参与者需要根据交易所有关规定支付交收服务费、仓单过户费等相关费用。</w:t>
      </w:r>
    </w:p>
    <w:p w14:paraId="40E3EA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第二十二条 </w:t>
      </w:r>
      <w:r>
        <w:rPr>
          <w:rFonts w:hint="eastAsia" w:ascii="仿宋" w:hAnsi="仿宋" w:eastAsia="仿宋" w:cs="仿宋"/>
          <w:sz w:val="32"/>
          <w:szCs w:val="32"/>
        </w:rPr>
        <w:t xml:space="preserve"> 收费标准及收取方式详见交易所发布的各产品《业务参数表》、入市时签订的《业务开通申请表》以及其他公示文件等。</w:t>
      </w:r>
    </w:p>
    <w:p w14:paraId="6EA391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第二十三条</w:t>
      </w:r>
      <w:r>
        <w:rPr>
          <w:rFonts w:hint="eastAsia" w:ascii="仿宋" w:hAnsi="仿宋" w:eastAsia="仿宋" w:cs="仿宋"/>
          <w:sz w:val="32"/>
          <w:szCs w:val="32"/>
        </w:rPr>
        <w:t xml:space="preserve">  交易所有权根据市场实际情形对相关收费项目、收费标准进行调整。</w:t>
      </w:r>
    </w:p>
    <w:p w14:paraId="45595A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CEC7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黑体" w:hAnsi="黑体" w:eastAsia="黑体" w:cs="黑体"/>
          <w:sz w:val="32"/>
          <w:szCs w:val="32"/>
        </w:rPr>
        <w:t>第六章  溢短核算</w:t>
      </w:r>
    </w:p>
    <w:p w14:paraId="616ACD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第二十四条 </w:t>
      </w:r>
      <w:r>
        <w:rPr>
          <w:rFonts w:hint="eastAsia" w:ascii="仿宋" w:hAnsi="仿宋" w:eastAsia="仿宋" w:cs="仿宋"/>
          <w:sz w:val="32"/>
          <w:szCs w:val="32"/>
        </w:rPr>
        <w:t xml:space="preserve"> 为了便于合同履行并使买卖双方交收时的交货数量满足实际情况，交易所对各交易品种规定了溢短标准，详见各品种《产品基本信息表》。</w:t>
      </w:r>
    </w:p>
    <w:p w14:paraId="150D85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第二十五条 </w:t>
      </w:r>
      <w:r>
        <w:rPr>
          <w:rFonts w:hint="eastAsia" w:ascii="仿宋" w:hAnsi="仿宋" w:eastAsia="仿宋" w:cs="仿宋"/>
          <w:sz w:val="32"/>
          <w:szCs w:val="32"/>
        </w:rPr>
        <w:t xml:space="preserve"> 溢短核算指买卖双方对最终交收货物的溢短差重量用资金进行核算。</w:t>
      </w:r>
    </w:p>
    <w:p w14:paraId="5222B5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第二十六条</w:t>
      </w:r>
      <w:r>
        <w:rPr>
          <w:rFonts w:hint="eastAsia" w:ascii="仿宋" w:hAnsi="仿宋" w:eastAsia="仿宋" w:cs="仿宋"/>
          <w:sz w:val="32"/>
          <w:szCs w:val="32"/>
        </w:rPr>
        <w:t xml:space="preserve">  卖方交货数量在溢短范围内，则不算违约，买方不得因此拒收货物或提出索赔。</w:t>
      </w:r>
    </w:p>
    <w:p w14:paraId="790CA3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第二十七条</w:t>
      </w:r>
      <w:r>
        <w:rPr>
          <w:rFonts w:hint="eastAsia" w:ascii="仿宋" w:hAnsi="仿宋" w:eastAsia="仿宋" w:cs="仿宋"/>
          <w:sz w:val="32"/>
          <w:szCs w:val="32"/>
        </w:rPr>
        <w:t xml:space="preserve">  买卖双方在完成交收后，按合同价计算溢短核算金额，并按本管理办法规定在线下自行进行溢短差核算。</w:t>
      </w:r>
    </w:p>
    <w:p w14:paraId="5BAC4D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第二十八条</w:t>
      </w:r>
      <w:r>
        <w:rPr>
          <w:rFonts w:hint="eastAsia" w:ascii="仿宋" w:hAnsi="仿宋" w:eastAsia="仿宋" w:cs="仿宋"/>
          <w:sz w:val="32"/>
          <w:szCs w:val="32"/>
        </w:rPr>
        <w:t xml:space="preserve">  若双方另有约定，则按照双方约定执行。</w:t>
      </w:r>
    </w:p>
    <w:p w14:paraId="427DAE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B813F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争议与违约处理</w:t>
      </w:r>
    </w:p>
    <w:p w14:paraId="420EE1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16CA3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第二十九条</w:t>
      </w:r>
      <w:r>
        <w:rPr>
          <w:rFonts w:hint="eastAsia" w:ascii="仿宋" w:hAnsi="仿宋" w:eastAsia="仿宋" w:cs="仿宋"/>
          <w:sz w:val="32"/>
          <w:szCs w:val="32"/>
        </w:rPr>
        <w:t xml:space="preserve">  若买方对交收商品的质量、数量有异议的，须在D5 交收日15:00前向交易所提</w:t>
      </w:r>
      <w:r>
        <w:rPr>
          <w:rFonts w:hint="eastAsia" w:ascii="仿宋" w:hAnsi="仿宋" w:eastAsia="仿宋" w:cs="仿宋"/>
          <w:sz w:val="32"/>
          <w:szCs w:val="32"/>
          <w:lang w:val="en-US" w:eastAsia="zh-CN"/>
        </w:rPr>
        <w:t>交</w:t>
      </w:r>
      <w:r>
        <w:rPr>
          <w:rFonts w:hint="eastAsia" w:ascii="仿宋" w:hAnsi="仿宋" w:eastAsia="仿宋" w:cs="仿宋"/>
          <w:sz w:val="32"/>
          <w:szCs w:val="32"/>
        </w:rPr>
        <w:t>书面</w:t>
      </w:r>
      <w:r>
        <w:rPr>
          <w:rFonts w:hint="eastAsia" w:ascii="仿宋" w:hAnsi="仿宋" w:eastAsia="仿宋" w:cs="仿宋"/>
          <w:sz w:val="32"/>
          <w:szCs w:val="32"/>
          <w:lang w:val="en-US" w:eastAsia="zh-CN"/>
        </w:rPr>
        <w:t>异议</w:t>
      </w:r>
      <w:r>
        <w:rPr>
          <w:rFonts w:hint="eastAsia" w:ascii="仿宋" w:hAnsi="仿宋" w:eastAsia="仿宋" w:cs="仿宋"/>
          <w:sz w:val="32"/>
          <w:szCs w:val="32"/>
        </w:rPr>
        <w:t>申请，交易所</w:t>
      </w:r>
      <w:r>
        <w:rPr>
          <w:rFonts w:hint="eastAsia" w:ascii="仿宋" w:hAnsi="仿宋" w:eastAsia="仿宋" w:cs="仿宋"/>
          <w:sz w:val="32"/>
          <w:szCs w:val="32"/>
          <w:lang w:val="en-US" w:eastAsia="zh-CN"/>
        </w:rPr>
        <w:t>收到申请后</w:t>
      </w:r>
      <w:r>
        <w:rPr>
          <w:rFonts w:hint="eastAsia" w:ascii="仿宋" w:hAnsi="仿宋" w:eastAsia="仿宋" w:cs="仿宋"/>
          <w:sz w:val="32"/>
          <w:szCs w:val="32"/>
        </w:rPr>
        <w:t>将暂停交收流程，并根据实际情况进行协调</w:t>
      </w:r>
      <w:r>
        <w:rPr>
          <w:rFonts w:hint="eastAsia" w:ascii="仿宋" w:hAnsi="仿宋" w:eastAsia="仿宋" w:cs="仿宋"/>
          <w:sz w:val="32"/>
          <w:szCs w:val="32"/>
          <w:lang w:eastAsia="zh-CN"/>
        </w:rPr>
        <w:t>；</w:t>
      </w:r>
      <w:r>
        <w:rPr>
          <w:rFonts w:hint="eastAsia" w:ascii="仿宋" w:hAnsi="仿宋" w:eastAsia="仿宋" w:cs="仿宋"/>
          <w:sz w:val="32"/>
          <w:szCs w:val="32"/>
        </w:rPr>
        <w:t>如协调</w:t>
      </w:r>
      <w:r>
        <w:rPr>
          <w:rFonts w:hint="eastAsia" w:ascii="仿宋" w:hAnsi="仿宋" w:eastAsia="仿宋" w:cs="仿宋"/>
          <w:sz w:val="32"/>
          <w:szCs w:val="32"/>
          <w:lang w:val="en-US" w:eastAsia="zh-CN"/>
        </w:rPr>
        <w:t>不成</w:t>
      </w:r>
      <w:r>
        <w:rPr>
          <w:rFonts w:hint="eastAsia" w:ascii="仿宋" w:hAnsi="仿宋" w:eastAsia="仿宋" w:cs="仿宋"/>
          <w:sz w:val="32"/>
          <w:szCs w:val="32"/>
        </w:rPr>
        <w:t>的，</w:t>
      </w:r>
      <w:r>
        <w:rPr>
          <w:rFonts w:hint="eastAsia" w:ascii="仿宋" w:hAnsi="仿宋" w:eastAsia="仿宋" w:cs="仿宋"/>
          <w:sz w:val="32"/>
          <w:szCs w:val="32"/>
          <w:lang w:val="en-US" w:eastAsia="zh-CN"/>
        </w:rPr>
        <w:t>由</w:t>
      </w:r>
      <w:r>
        <w:rPr>
          <w:rFonts w:hint="eastAsia" w:ascii="仿宋" w:hAnsi="仿宋" w:eastAsia="仿宋" w:cs="仿宋"/>
          <w:sz w:val="32"/>
          <w:szCs w:val="32"/>
        </w:rPr>
        <w:t>买卖双方自行解决，交易所不承担由此造成的损失。</w:t>
      </w:r>
    </w:p>
    <w:p w14:paraId="7E8FF7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第三十条 </w:t>
      </w:r>
      <w:r>
        <w:rPr>
          <w:rFonts w:hint="eastAsia" w:ascii="仿宋" w:hAnsi="仿宋" w:eastAsia="仿宋" w:cs="仿宋"/>
          <w:sz w:val="32"/>
          <w:szCs w:val="32"/>
        </w:rPr>
        <w:t xml:space="preserve"> 买方逾期未对交收商品提出异议申请的，视其对所交收商品无异议，交易所不再受理交收商品的异议申请。</w:t>
      </w:r>
    </w:p>
    <w:p w14:paraId="34D7E8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第三十一条</w:t>
      </w:r>
      <w:r>
        <w:rPr>
          <w:rFonts w:hint="eastAsia" w:ascii="仿宋" w:hAnsi="仿宋" w:eastAsia="仿宋" w:cs="仿宋"/>
          <w:sz w:val="32"/>
          <w:szCs w:val="32"/>
        </w:rPr>
        <w:t xml:space="preserve">  交易所将在交收双方提出异议后的30 个工作日内对已履行的交收流程</w:t>
      </w:r>
      <w:r>
        <w:rPr>
          <w:rFonts w:hint="eastAsia" w:ascii="仿宋" w:hAnsi="仿宋" w:eastAsia="仿宋" w:cs="仿宋"/>
          <w:sz w:val="32"/>
          <w:szCs w:val="32"/>
          <w:lang w:val="en-US" w:eastAsia="zh-CN"/>
        </w:rPr>
        <w:t>的相关资料</w:t>
      </w:r>
      <w:r>
        <w:rPr>
          <w:rFonts w:hint="eastAsia" w:ascii="仿宋" w:hAnsi="仿宋" w:eastAsia="仿宋" w:cs="仿宋"/>
          <w:sz w:val="32"/>
          <w:szCs w:val="32"/>
        </w:rPr>
        <w:t>予以保存。若30个工作日(含第30天)内未收到双方协商结果或司法</w:t>
      </w:r>
      <w:r>
        <w:rPr>
          <w:rFonts w:hint="eastAsia" w:ascii="仿宋" w:hAnsi="仿宋" w:eastAsia="仿宋" w:cs="仿宋"/>
          <w:sz w:val="32"/>
          <w:szCs w:val="32"/>
          <w:lang w:val="en-US" w:eastAsia="zh-CN"/>
        </w:rPr>
        <w:t>文书</w:t>
      </w:r>
      <w:r>
        <w:rPr>
          <w:rFonts w:hint="eastAsia" w:ascii="仿宋" w:hAnsi="仿宋" w:eastAsia="仿宋" w:cs="仿宋"/>
          <w:sz w:val="32"/>
          <w:szCs w:val="32"/>
        </w:rPr>
        <w:t>，交易所在下一个工作日将争议部分</w:t>
      </w:r>
      <w:r>
        <w:rPr>
          <w:rFonts w:hint="eastAsia" w:ascii="仿宋" w:hAnsi="仿宋" w:eastAsia="仿宋" w:cs="仿宋"/>
          <w:sz w:val="32"/>
          <w:szCs w:val="32"/>
          <w:lang w:val="en-US" w:eastAsia="zh-CN"/>
        </w:rPr>
        <w:t>对应</w:t>
      </w:r>
      <w:r>
        <w:rPr>
          <w:rFonts w:hint="eastAsia" w:ascii="仿宋" w:hAnsi="仿宋" w:eastAsia="仿宋" w:cs="仿宋"/>
          <w:sz w:val="32"/>
          <w:szCs w:val="32"/>
        </w:rPr>
        <w:t>的货款、交收订金和发票订金退回，交易所不承担由此产生的任何经济损失</w:t>
      </w:r>
      <w:r>
        <w:rPr>
          <w:rFonts w:hint="eastAsia" w:ascii="仿宋" w:hAnsi="仿宋" w:eastAsia="仿宋" w:cs="仿宋"/>
          <w:sz w:val="32"/>
          <w:szCs w:val="32"/>
          <w:lang w:val="en-US" w:eastAsia="zh-CN"/>
        </w:rPr>
        <w:t>与法律责任</w:t>
      </w:r>
      <w:r>
        <w:rPr>
          <w:rFonts w:hint="eastAsia" w:ascii="仿宋" w:hAnsi="仿宋" w:eastAsia="仿宋" w:cs="仿宋"/>
          <w:sz w:val="32"/>
          <w:szCs w:val="32"/>
        </w:rPr>
        <w:t>。若需要延长异议</w:t>
      </w:r>
      <w:r>
        <w:rPr>
          <w:rFonts w:hint="eastAsia" w:ascii="仿宋" w:hAnsi="仿宋" w:eastAsia="仿宋" w:cs="仿宋"/>
          <w:sz w:val="32"/>
          <w:szCs w:val="32"/>
          <w:lang w:val="en-US" w:eastAsia="zh-CN"/>
        </w:rPr>
        <w:t>书面申请资料</w:t>
      </w:r>
      <w:r>
        <w:rPr>
          <w:rFonts w:hint="eastAsia" w:ascii="仿宋" w:hAnsi="仿宋" w:eastAsia="仿宋" w:cs="仿宋"/>
          <w:sz w:val="32"/>
          <w:szCs w:val="32"/>
        </w:rPr>
        <w:t>保存</w:t>
      </w:r>
      <w:r>
        <w:rPr>
          <w:rFonts w:hint="eastAsia" w:ascii="仿宋" w:hAnsi="仿宋" w:eastAsia="仿宋" w:cs="仿宋"/>
          <w:sz w:val="32"/>
          <w:szCs w:val="32"/>
          <w:lang w:val="en-US" w:eastAsia="zh-CN"/>
        </w:rPr>
        <w:t>期限</w:t>
      </w:r>
      <w:r>
        <w:rPr>
          <w:rFonts w:hint="eastAsia" w:ascii="仿宋" w:hAnsi="仿宋" w:eastAsia="仿宋" w:cs="仿宋"/>
          <w:sz w:val="32"/>
          <w:szCs w:val="32"/>
        </w:rPr>
        <w:t>的，</w:t>
      </w:r>
      <w:r>
        <w:rPr>
          <w:rFonts w:hint="eastAsia" w:ascii="仿宋" w:hAnsi="仿宋" w:eastAsia="仿宋" w:cs="仿宋"/>
          <w:sz w:val="32"/>
          <w:szCs w:val="32"/>
          <w:lang w:val="en-US" w:eastAsia="zh-CN"/>
        </w:rPr>
        <w:t>应</w:t>
      </w:r>
      <w:r>
        <w:rPr>
          <w:rFonts w:hint="eastAsia" w:ascii="仿宋" w:hAnsi="仿宋" w:eastAsia="仿宋" w:cs="仿宋"/>
          <w:sz w:val="32"/>
          <w:szCs w:val="32"/>
        </w:rPr>
        <w:t>在30个工作日</w:t>
      </w:r>
      <w:r>
        <w:rPr>
          <w:rFonts w:hint="eastAsia" w:ascii="仿宋" w:hAnsi="仿宋" w:eastAsia="仿宋" w:cs="仿宋"/>
          <w:sz w:val="32"/>
          <w:szCs w:val="32"/>
          <w:lang w:val="en-US" w:eastAsia="zh-CN"/>
        </w:rPr>
        <w:t>届满前</w:t>
      </w:r>
      <w:r>
        <w:rPr>
          <w:rFonts w:hint="eastAsia" w:ascii="仿宋" w:hAnsi="仿宋" w:eastAsia="仿宋" w:cs="仿宋"/>
          <w:sz w:val="32"/>
          <w:szCs w:val="32"/>
        </w:rPr>
        <w:t>向交易所提出。</w:t>
      </w:r>
    </w:p>
    <w:p w14:paraId="28EF24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第三十二条</w:t>
      </w:r>
      <w:r>
        <w:rPr>
          <w:rFonts w:hint="eastAsia" w:ascii="仿宋" w:hAnsi="仿宋" w:eastAsia="仿宋" w:cs="仿宋"/>
          <w:sz w:val="32"/>
          <w:szCs w:val="32"/>
        </w:rPr>
        <w:t xml:space="preserve">  买卖双方需依照交易所规定进行交收，若存在以下情况时，则视为违约：</w:t>
      </w:r>
    </w:p>
    <w:p w14:paraId="1457E018">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1. 存在买方、卖方在规定期限内未能足额补足交收履约订金的；</w:t>
      </w:r>
    </w:p>
    <w:p w14:paraId="365ED02D">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2. 卖方未能在规定期</w:t>
      </w:r>
      <w:r>
        <w:rPr>
          <w:rFonts w:hint="eastAsia" w:ascii="仿宋" w:hAnsi="仿宋" w:eastAsia="仿宋" w:cs="仿宋"/>
          <w:sz w:val="32"/>
          <w:szCs w:val="32"/>
          <w:lang w:val="en-US" w:eastAsia="zh-CN"/>
        </w:rPr>
        <w:t>限</w:t>
      </w:r>
      <w:r>
        <w:rPr>
          <w:rFonts w:hint="eastAsia" w:ascii="仿宋" w:hAnsi="仿宋" w:eastAsia="仿宋" w:cs="仿宋"/>
          <w:sz w:val="32"/>
          <w:szCs w:val="32"/>
        </w:rPr>
        <w:t>内足额完成备货或提交仓单的；</w:t>
      </w:r>
    </w:p>
    <w:p w14:paraId="2777B01B">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3. 买方未能在规定期</w:t>
      </w:r>
      <w:r>
        <w:rPr>
          <w:rFonts w:hint="eastAsia" w:ascii="仿宋" w:hAnsi="仿宋" w:eastAsia="仿宋" w:cs="仿宋"/>
          <w:sz w:val="32"/>
          <w:szCs w:val="32"/>
          <w:lang w:val="en-US" w:eastAsia="zh-CN"/>
        </w:rPr>
        <w:t>限</w:t>
      </w:r>
      <w:r>
        <w:rPr>
          <w:rFonts w:hint="eastAsia" w:ascii="仿宋" w:hAnsi="仿宋" w:eastAsia="仿宋" w:cs="仿宋"/>
          <w:sz w:val="32"/>
          <w:szCs w:val="32"/>
        </w:rPr>
        <w:t>内足额支付货款的；</w:t>
      </w:r>
    </w:p>
    <w:p w14:paraId="0CD5E3A4">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4. 卖方提供的产品质量与交易所规定存在差异且双方未达成一致的；</w:t>
      </w:r>
    </w:p>
    <w:p w14:paraId="2353C367">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5. 买方提供开票信息错误的；</w:t>
      </w:r>
    </w:p>
    <w:p w14:paraId="2B1985C2">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6. 买方提供开票信息正确，但卖方未</w:t>
      </w:r>
      <w:r>
        <w:rPr>
          <w:rFonts w:hint="eastAsia" w:ascii="仿宋" w:hAnsi="仿宋" w:eastAsia="仿宋" w:cs="仿宋"/>
          <w:sz w:val="32"/>
          <w:szCs w:val="32"/>
          <w:lang w:val="en-US" w:eastAsia="zh-CN"/>
        </w:rPr>
        <w:t>在</w:t>
      </w:r>
      <w:r>
        <w:rPr>
          <w:rFonts w:hint="eastAsia" w:ascii="仿宋" w:hAnsi="仿宋" w:eastAsia="仿宋" w:cs="仿宋"/>
          <w:sz w:val="32"/>
          <w:szCs w:val="32"/>
        </w:rPr>
        <w:t>规定期</w:t>
      </w:r>
      <w:r>
        <w:rPr>
          <w:rFonts w:hint="eastAsia" w:ascii="仿宋" w:hAnsi="仿宋" w:eastAsia="仿宋" w:cs="仿宋"/>
          <w:sz w:val="32"/>
          <w:szCs w:val="32"/>
          <w:lang w:val="en-US" w:eastAsia="zh-CN"/>
        </w:rPr>
        <w:t>限</w:t>
      </w:r>
      <w:r>
        <w:rPr>
          <w:rFonts w:hint="eastAsia" w:ascii="仿宋" w:hAnsi="仿宋" w:eastAsia="仿宋" w:cs="仿宋"/>
          <w:sz w:val="32"/>
          <w:szCs w:val="32"/>
        </w:rPr>
        <w:t>内开票或开票错误的；</w:t>
      </w:r>
    </w:p>
    <w:p w14:paraId="6981D474">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7. 买卖双方未补溢短款的；</w:t>
      </w:r>
    </w:p>
    <w:p w14:paraId="6E4F1547">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8. 交易所认定的其他违约情形。</w:t>
      </w:r>
    </w:p>
    <w:p w14:paraId="4B5439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第三十三条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发生</w:t>
      </w:r>
      <w:r>
        <w:rPr>
          <w:rFonts w:hint="eastAsia" w:ascii="仿宋" w:hAnsi="仿宋" w:eastAsia="仿宋" w:cs="仿宋"/>
          <w:sz w:val="32"/>
          <w:szCs w:val="32"/>
        </w:rPr>
        <w:t>违约行为时，交易所将先通过交易平台、邮件或电话等方式告知违约方。</w:t>
      </w:r>
      <w:r>
        <w:rPr>
          <w:rFonts w:hint="eastAsia" w:ascii="仿宋" w:hAnsi="仿宋" w:eastAsia="仿宋" w:cs="仿宋"/>
          <w:sz w:val="32"/>
          <w:szCs w:val="32"/>
          <w:lang w:val="en-US" w:eastAsia="zh-CN"/>
        </w:rPr>
        <w:t>自</w:t>
      </w:r>
      <w:r>
        <w:rPr>
          <w:rFonts w:hint="eastAsia" w:ascii="仿宋" w:hAnsi="仿宋" w:eastAsia="仿宋" w:cs="仿宋"/>
          <w:sz w:val="32"/>
          <w:szCs w:val="32"/>
        </w:rPr>
        <w:t>告知次日</w:t>
      </w:r>
      <w:r>
        <w:rPr>
          <w:rFonts w:hint="eastAsia" w:ascii="仿宋" w:hAnsi="仿宋" w:eastAsia="仿宋" w:cs="仿宋"/>
          <w:sz w:val="32"/>
          <w:szCs w:val="32"/>
          <w:lang w:val="en-US" w:eastAsia="zh-CN"/>
        </w:rPr>
        <w:t>起，违约方</w:t>
      </w:r>
      <w:r>
        <w:rPr>
          <w:rFonts w:hint="eastAsia" w:ascii="仿宋" w:hAnsi="仿宋" w:eastAsia="仿宋" w:cs="仿宋"/>
          <w:sz w:val="32"/>
          <w:szCs w:val="32"/>
        </w:rPr>
        <w:t>仍未能及时</w:t>
      </w:r>
      <w:r>
        <w:rPr>
          <w:rFonts w:hint="eastAsia" w:ascii="仿宋" w:hAnsi="仿宋" w:eastAsia="仿宋" w:cs="仿宋"/>
          <w:sz w:val="32"/>
          <w:szCs w:val="32"/>
          <w:lang w:val="en-US" w:eastAsia="zh-CN"/>
        </w:rPr>
        <w:t>停</w:t>
      </w:r>
      <w:r>
        <w:rPr>
          <w:rFonts w:hint="eastAsia" w:ascii="仿宋" w:hAnsi="仿宋" w:eastAsia="仿宋" w:cs="仿宋"/>
          <w:sz w:val="32"/>
          <w:szCs w:val="32"/>
        </w:rPr>
        <w:t>止其违约行为，或无法联系到违约方</w:t>
      </w:r>
      <w:r>
        <w:rPr>
          <w:rFonts w:hint="eastAsia" w:ascii="仿宋" w:hAnsi="仿宋" w:eastAsia="仿宋" w:cs="仿宋"/>
          <w:sz w:val="32"/>
          <w:szCs w:val="32"/>
          <w:lang w:val="en-US" w:eastAsia="zh-CN"/>
        </w:rPr>
        <w:t>的</w:t>
      </w:r>
      <w:r>
        <w:rPr>
          <w:rFonts w:hint="eastAsia" w:ascii="仿宋" w:hAnsi="仿宋" w:eastAsia="仿宋" w:cs="仿宋"/>
          <w:sz w:val="32"/>
          <w:szCs w:val="32"/>
        </w:rPr>
        <w:t>，交易所将有权视情</w:t>
      </w:r>
      <w:r>
        <w:rPr>
          <w:rFonts w:hint="eastAsia" w:ascii="仿宋" w:hAnsi="仿宋" w:eastAsia="仿宋" w:cs="仿宋"/>
          <w:sz w:val="32"/>
          <w:szCs w:val="32"/>
          <w:lang w:val="en-US" w:eastAsia="zh-CN"/>
        </w:rPr>
        <w:t>形</w:t>
      </w:r>
      <w:r>
        <w:rPr>
          <w:rFonts w:hint="eastAsia" w:ascii="仿宋" w:hAnsi="仿宋" w:eastAsia="仿宋" w:cs="仿宋"/>
          <w:sz w:val="32"/>
          <w:szCs w:val="32"/>
        </w:rPr>
        <w:t>终止此次交易，并</w:t>
      </w:r>
      <w:r>
        <w:rPr>
          <w:rFonts w:hint="eastAsia" w:ascii="仿宋" w:hAnsi="仿宋" w:eastAsia="仿宋" w:cs="仿宋"/>
          <w:sz w:val="32"/>
          <w:szCs w:val="32"/>
          <w:lang w:val="en-US" w:eastAsia="zh-CN"/>
        </w:rPr>
        <w:t>扣收</w:t>
      </w:r>
      <w:r>
        <w:rPr>
          <w:rFonts w:hint="eastAsia" w:ascii="仿宋" w:hAnsi="仿宋" w:eastAsia="仿宋" w:cs="仿宋"/>
          <w:sz w:val="32"/>
          <w:szCs w:val="32"/>
        </w:rPr>
        <w:t>违约方已冻结的部分或全部交易或交收订金，并以所</w:t>
      </w:r>
      <w:r>
        <w:rPr>
          <w:rFonts w:hint="eastAsia" w:ascii="仿宋" w:hAnsi="仿宋" w:eastAsia="仿宋" w:cs="仿宋"/>
          <w:sz w:val="32"/>
          <w:szCs w:val="32"/>
          <w:lang w:val="en-US" w:eastAsia="zh-CN"/>
        </w:rPr>
        <w:t>扣收</w:t>
      </w:r>
      <w:r>
        <w:rPr>
          <w:rFonts w:hint="eastAsia" w:ascii="仿宋" w:hAnsi="仿宋" w:eastAsia="仿宋" w:cs="仿宋"/>
          <w:sz w:val="32"/>
          <w:szCs w:val="32"/>
        </w:rPr>
        <w:t>的资金对</w:t>
      </w:r>
      <w:r>
        <w:rPr>
          <w:rFonts w:hint="eastAsia" w:ascii="仿宋" w:hAnsi="仿宋" w:eastAsia="仿宋" w:cs="仿宋"/>
          <w:sz w:val="32"/>
          <w:szCs w:val="32"/>
          <w:lang w:val="en-US" w:eastAsia="zh-CN"/>
        </w:rPr>
        <w:t>守</w:t>
      </w:r>
      <w:r>
        <w:rPr>
          <w:rFonts w:hint="eastAsia" w:ascii="仿宋" w:hAnsi="仿宋" w:eastAsia="仿宋" w:cs="仿宋"/>
          <w:sz w:val="32"/>
          <w:szCs w:val="32"/>
        </w:rPr>
        <w:t>约方</w:t>
      </w:r>
      <w:r>
        <w:rPr>
          <w:rFonts w:hint="eastAsia" w:ascii="仿宋" w:hAnsi="仿宋" w:eastAsia="仿宋" w:cs="仿宋"/>
          <w:sz w:val="32"/>
          <w:szCs w:val="32"/>
          <w:lang w:val="en-US" w:eastAsia="zh-CN"/>
        </w:rPr>
        <w:t>予以</w:t>
      </w:r>
      <w:r>
        <w:rPr>
          <w:rFonts w:hint="eastAsia" w:ascii="仿宋" w:hAnsi="仿宋" w:eastAsia="仿宋" w:cs="仿宋"/>
          <w:sz w:val="32"/>
          <w:szCs w:val="32"/>
        </w:rPr>
        <w:t>补偿。</w:t>
      </w:r>
    </w:p>
    <w:p w14:paraId="26CFBC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第三十四条 </w:t>
      </w:r>
      <w:r>
        <w:rPr>
          <w:rFonts w:hint="eastAsia" w:ascii="仿宋" w:hAnsi="仿宋" w:eastAsia="仿宋" w:cs="仿宋"/>
          <w:sz w:val="32"/>
          <w:szCs w:val="32"/>
        </w:rPr>
        <w:t xml:space="preserve"> 交易所有权对</w:t>
      </w:r>
      <w:r>
        <w:rPr>
          <w:rFonts w:hint="eastAsia" w:ascii="仿宋" w:hAnsi="仿宋" w:eastAsia="仿宋" w:cs="仿宋"/>
          <w:sz w:val="32"/>
          <w:szCs w:val="32"/>
          <w:lang w:val="en-US" w:eastAsia="zh-CN"/>
        </w:rPr>
        <w:t>存在</w:t>
      </w:r>
      <w:r>
        <w:rPr>
          <w:rFonts w:hint="eastAsia" w:ascii="仿宋" w:hAnsi="仿宋" w:eastAsia="仿宋" w:cs="仿宋"/>
          <w:sz w:val="32"/>
          <w:szCs w:val="32"/>
        </w:rPr>
        <w:t>恶意违约行为的账户采取暂停交易、禁止出入金、注销账户、清退资格等措施，账户所有者</w:t>
      </w:r>
      <w:r>
        <w:rPr>
          <w:rFonts w:hint="eastAsia" w:ascii="仿宋" w:hAnsi="仿宋" w:eastAsia="仿宋" w:cs="仿宋"/>
          <w:sz w:val="32"/>
          <w:szCs w:val="32"/>
          <w:lang w:val="en-US" w:eastAsia="zh-CN"/>
        </w:rPr>
        <w:t>对处理措施有异议的，可</w:t>
      </w:r>
      <w:r>
        <w:rPr>
          <w:rFonts w:hint="eastAsia" w:ascii="仿宋" w:hAnsi="仿宋" w:eastAsia="仿宋" w:cs="仿宋"/>
          <w:sz w:val="32"/>
          <w:szCs w:val="32"/>
        </w:rPr>
        <w:t>在措施生效后的30个工作日内向交易所提出申诉。</w:t>
      </w:r>
    </w:p>
    <w:p w14:paraId="748CA3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63F4F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附则</w:t>
      </w:r>
    </w:p>
    <w:p w14:paraId="468BD8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89DDD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第三十五条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本规则由</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制定、修订并解释。</w:t>
      </w:r>
    </w:p>
    <w:p w14:paraId="1F0778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第三十六条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交易所有权根据本规则制定相应的业务指引及流程。</w:t>
      </w:r>
    </w:p>
    <w:p w14:paraId="410EE8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第三十七条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本规则自颁布之日起施行。</w:t>
      </w:r>
    </w:p>
    <w:p w14:paraId="5E9206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121C1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80376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81933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4AA4F">
    <w:pPr>
      <w:spacing w:line="182" w:lineRule="auto"/>
      <w:ind w:left="4360"/>
      <w:rPr>
        <w:rFonts w:ascii="Times New Roman" w:hAnsi="Times New Roman" w:eastAsia="Times New Roman" w:cs="Times New Roman"/>
        <w:sz w:val="22"/>
        <w:szCs w:val="22"/>
      </w:rPr>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6030F">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F6030F">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NzdiNWQ3NDAyMDZkODBjODA3ZmU5YTI5NTFlOWEifQ=="/>
  </w:docVars>
  <w:rsids>
    <w:rsidRoot w:val="00172A27"/>
    <w:rsid w:val="01C466C1"/>
    <w:rsid w:val="02897193"/>
    <w:rsid w:val="0A4F2E9A"/>
    <w:rsid w:val="0A856AD7"/>
    <w:rsid w:val="0B6B5764"/>
    <w:rsid w:val="12563534"/>
    <w:rsid w:val="183C74C7"/>
    <w:rsid w:val="26014233"/>
    <w:rsid w:val="2AE8528D"/>
    <w:rsid w:val="2FD22068"/>
    <w:rsid w:val="31B5119A"/>
    <w:rsid w:val="351B1E36"/>
    <w:rsid w:val="376711EB"/>
    <w:rsid w:val="381850A7"/>
    <w:rsid w:val="3B2D2F93"/>
    <w:rsid w:val="41DF4653"/>
    <w:rsid w:val="4A6A1B72"/>
    <w:rsid w:val="4B693428"/>
    <w:rsid w:val="51452BD5"/>
    <w:rsid w:val="5179348D"/>
    <w:rsid w:val="57A34B9E"/>
    <w:rsid w:val="58112BCD"/>
    <w:rsid w:val="5B1F4360"/>
    <w:rsid w:val="5BE427E9"/>
    <w:rsid w:val="738B271B"/>
    <w:rsid w:val="75165475"/>
    <w:rsid w:val="7F54734D"/>
    <w:rsid w:val="7F6D4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2"/>
      <w:szCs w:val="2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3747</Words>
  <Characters>3802</Characters>
  <Lines>0</Lines>
  <Paragraphs>0</Paragraphs>
  <TotalTime>1</TotalTime>
  <ScaleCrop>false</ScaleCrop>
  <LinksUpToDate>false</LinksUpToDate>
  <CharactersWithSpaces>3986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2024-06-19T01:27:00Z</dcterms:created>
  <dc:creator>努力站桩的奶酪</dc:creator>
  <cp:lastModifiedBy>天交所</cp:lastModifiedBy>
  <dcterms:modified xsi:type="dcterms:W3CDTF">2026-04-10T06:40:49Z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D772AD418E914EA3AF5020C902A0C2AD_11</vt:lpwstr>
  </property>
  <property fmtid="{D5CDD505-2E9C-101B-9397-08002B2CF9AE}" pid="4" name="KSOTemplateDocerSaveRecord">
    <vt:lpwstr>eyJoZGlkIjoiNzlkN2FiOThlZDNjZTg0MDY3NzIzMzRlNTg5NDY0ZmUiLCJ1c2VySWQiOiIxNjUyMDQxNDk1In0=</vt:lpwstr>
  </property>
</Properties>
</file>