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5990B">
      <w:pPr>
        <w:jc w:val="center"/>
        <w:rPr>
          <w:rFonts w:hint="eastAsia" w:ascii="宋体" w:hAnsi="宋体" w:eastAsia="宋体" w:cs="宋体"/>
          <w:b/>
          <w:bCs/>
          <w:sz w:val="44"/>
          <w:szCs w:val="52"/>
        </w:rPr>
      </w:pPr>
      <w:bookmarkStart w:id="0" w:name="_GoBack"/>
      <w:bookmarkEnd w:id="0"/>
      <w:r>
        <w:rPr>
          <w:rFonts w:hint="eastAsia" w:ascii="宋体" w:hAnsi="宋体" w:eastAsia="宋体" w:cs="宋体"/>
          <w:b/>
          <w:bCs/>
          <w:sz w:val="44"/>
          <w:szCs w:val="52"/>
        </w:rPr>
        <w:t>市场参与企业适当性管理制度</w:t>
      </w:r>
    </w:p>
    <w:p w14:paraId="40247821">
      <w:pPr>
        <w:rPr>
          <w:rFonts w:hint="eastAsia" w:ascii="仿宋" w:hAnsi="仿宋" w:eastAsia="仿宋" w:cs="仿宋"/>
          <w:sz w:val="32"/>
          <w:szCs w:val="40"/>
        </w:rPr>
      </w:pPr>
      <w:r>
        <w:rPr>
          <w:rFonts w:hint="eastAsia" w:ascii="仿宋" w:hAnsi="仿宋" w:eastAsia="仿宋" w:cs="仿宋"/>
          <w:sz w:val="32"/>
          <w:szCs w:val="40"/>
        </w:rPr>
        <w:t xml:space="preserve"> </w:t>
      </w:r>
    </w:p>
    <w:p w14:paraId="2D6E16E7">
      <w:pPr>
        <w:rPr>
          <w:rFonts w:hint="eastAsia" w:ascii="仿宋" w:hAnsi="仿宋" w:eastAsia="仿宋" w:cs="仿宋"/>
          <w:sz w:val="32"/>
          <w:szCs w:val="40"/>
        </w:rPr>
      </w:pPr>
      <w:r>
        <w:rPr>
          <w:rFonts w:hint="eastAsia" w:ascii="楷体" w:hAnsi="楷体" w:eastAsia="楷体" w:cs="楷体"/>
          <w:b/>
          <w:bCs/>
          <w:sz w:val="32"/>
          <w:szCs w:val="40"/>
        </w:rPr>
        <w:t>第一条</w:t>
      </w:r>
      <w:r>
        <w:rPr>
          <w:rFonts w:hint="eastAsia" w:ascii="仿宋" w:hAnsi="仿宋" w:eastAsia="仿宋" w:cs="仿宋"/>
          <w:sz w:val="32"/>
          <w:szCs w:val="40"/>
        </w:rPr>
        <w:t xml:space="preserve">  为推进天津国际电子商品交易有限公司（以下简称“天津电交所”）有序发展，规范和引导市场参与企业树立正确的投资理念，理性参与天津电交所的交易，促进天津电交所的各类业务规范发展，保护市场参与企业合法权益，根据 相关法律法规及其他相关业务规则，制定本办法。     </w:t>
      </w:r>
    </w:p>
    <w:p w14:paraId="7BE15067">
      <w:pPr>
        <w:rPr>
          <w:rFonts w:hint="eastAsia" w:ascii="仿宋" w:hAnsi="仿宋" w:eastAsia="仿宋" w:cs="仿宋"/>
          <w:sz w:val="32"/>
          <w:szCs w:val="40"/>
        </w:rPr>
      </w:pPr>
      <w:r>
        <w:rPr>
          <w:rFonts w:hint="eastAsia" w:ascii="楷体" w:hAnsi="楷体" w:eastAsia="楷体" w:cs="楷体"/>
          <w:b/>
          <w:bCs/>
          <w:sz w:val="32"/>
          <w:szCs w:val="40"/>
        </w:rPr>
        <w:t>第二条</w:t>
      </w:r>
      <w:r>
        <w:rPr>
          <w:rFonts w:hint="eastAsia" w:ascii="仿宋" w:hAnsi="仿宋" w:eastAsia="仿宋" w:cs="仿宋"/>
          <w:sz w:val="32"/>
          <w:szCs w:val="40"/>
        </w:rPr>
        <w:t xml:space="preserve">  天津电交所市场参与企业适当性管理，是指天津电交所根据市场参与企业的身份、财产与收入情况、风险承受能力、投资风险偏好和投资目标等相关信息，有针对性</w:t>
      </w:r>
      <w:r>
        <w:rPr>
          <w:rFonts w:hint="eastAsia" w:ascii="仿宋" w:hAnsi="仿宋" w:eastAsia="仿宋" w:cs="仿宋"/>
          <w:sz w:val="32"/>
          <w:szCs w:val="40"/>
          <w:lang w:val="en-US" w:eastAsia="zh-CN"/>
        </w:rPr>
        <w:t>地</w:t>
      </w:r>
      <w:r>
        <w:rPr>
          <w:rFonts w:hint="eastAsia" w:ascii="仿宋" w:hAnsi="仿宋" w:eastAsia="仿宋" w:cs="仿宋"/>
          <w:sz w:val="32"/>
          <w:szCs w:val="40"/>
        </w:rPr>
        <w:t>进行风险揭示、市场参与企业培训、市场参与企业教育等工作，引导市场参与企业在充分了解天津电交所各类业务的基础上开通</w:t>
      </w:r>
      <w:r>
        <w:rPr>
          <w:rFonts w:hint="eastAsia" w:ascii="仿宋" w:hAnsi="仿宋" w:eastAsia="仿宋" w:cs="仿宋"/>
          <w:sz w:val="32"/>
          <w:szCs w:val="40"/>
          <w:lang w:val="en-US" w:eastAsia="zh-CN"/>
        </w:rPr>
        <w:t>交易权限</w:t>
      </w:r>
      <w:r>
        <w:rPr>
          <w:rFonts w:hint="eastAsia" w:ascii="仿宋" w:hAnsi="仿宋" w:eastAsia="仿宋" w:cs="仿宋"/>
          <w:sz w:val="32"/>
          <w:szCs w:val="40"/>
        </w:rPr>
        <w:t>和参与交易。</w:t>
      </w:r>
    </w:p>
    <w:p w14:paraId="27B8A35B">
      <w:pPr>
        <w:rPr>
          <w:rFonts w:hint="eastAsia" w:ascii="仿宋" w:hAnsi="仿宋" w:eastAsia="仿宋" w:cs="仿宋"/>
          <w:sz w:val="32"/>
          <w:szCs w:val="40"/>
        </w:rPr>
      </w:pPr>
      <w:r>
        <w:rPr>
          <w:rFonts w:hint="eastAsia" w:ascii="楷体" w:hAnsi="楷体" w:eastAsia="楷体" w:cs="楷体"/>
          <w:b/>
          <w:bCs/>
          <w:sz w:val="32"/>
          <w:szCs w:val="40"/>
        </w:rPr>
        <w:t>第三条</w:t>
      </w:r>
      <w:r>
        <w:rPr>
          <w:rFonts w:hint="eastAsia" w:ascii="仿宋" w:hAnsi="仿宋" w:eastAsia="仿宋" w:cs="仿宋"/>
          <w:sz w:val="32"/>
          <w:szCs w:val="40"/>
        </w:rPr>
        <w:t xml:space="preserve">  市场参与企业适当性管理的实施不能取代市场参与企业的投资判断，也不会降低产品交易固有风险，相应的投资风险、履约责任以及费用由市场参与企业自行承担。  </w:t>
      </w:r>
    </w:p>
    <w:p w14:paraId="267B635A">
      <w:pPr>
        <w:rPr>
          <w:rFonts w:hint="eastAsia" w:ascii="仿宋" w:hAnsi="仿宋" w:eastAsia="仿宋" w:cs="仿宋"/>
          <w:sz w:val="32"/>
          <w:szCs w:val="40"/>
        </w:rPr>
      </w:pPr>
      <w:r>
        <w:rPr>
          <w:rFonts w:hint="eastAsia" w:ascii="楷体" w:hAnsi="楷体" w:eastAsia="楷体" w:cs="楷体"/>
          <w:b/>
          <w:bCs/>
          <w:sz w:val="32"/>
          <w:szCs w:val="40"/>
        </w:rPr>
        <w:t>第四条</w:t>
      </w:r>
      <w:r>
        <w:rPr>
          <w:rFonts w:hint="eastAsia" w:ascii="仿宋" w:hAnsi="仿宋" w:eastAsia="仿宋" w:cs="仿宋"/>
          <w:sz w:val="32"/>
          <w:szCs w:val="40"/>
        </w:rPr>
        <w:t xml:space="preserve">  天津电交所应当按照市场参与企业适当性制度，切实履行市场参与企业适当性管理职责，确认参与天津电交所交易的市场参与企业为具备风险识别与承担能力的合格市场参与企业。天津电交所应当了解和评估市场参与企业对各类业务的风险识别和承受能力，充分揭示风险。    </w:t>
      </w:r>
    </w:p>
    <w:p w14:paraId="646AFB7E">
      <w:pPr>
        <w:rPr>
          <w:rFonts w:hint="eastAsia" w:ascii="仿宋" w:hAnsi="仿宋" w:eastAsia="仿宋" w:cs="仿宋"/>
          <w:sz w:val="32"/>
          <w:szCs w:val="40"/>
        </w:rPr>
      </w:pPr>
      <w:r>
        <w:rPr>
          <w:rFonts w:hint="eastAsia" w:ascii="楷体" w:hAnsi="楷体" w:eastAsia="楷体" w:cs="楷体"/>
          <w:b/>
          <w:bCs/>
          <w:sz w:val="32"/>
          <w:szCs w:val="40"/>
        </w:rPr>
        <w:t>第五条</w:t>
      </w:r>
      <w:r>
        <w:rPr>
          <w:rFonts w:hint="eastAsia" w:ascii="仿宋" w:hAnsi="仿宋" w:eastAsia="仿宋" w:cs="仿宋"/>
          <w:sz w:val="32"/>
          <w:szCs w:val="40"/>
        </w:rPr>
        <w:t xml:space="preserve">  天津电交所可对市场参与企业设置准入条件</w:t>
      </w:r>
      <w:r>
        <w:rPr>
          <w:rFonts w:hint="eastAsia" w:ascii="仿宋" w:hAnsi="仿宋" w:eastAsia="仿宋" w:cs="仿宋"/>
          <w:sz w:val="32"/>
          <w:szCs w:val="40"/>
          <w:lang w:eastAsia="zh-CN"/>
        </w:rPr>
        <w:t>，</w:t>
      </w:r>
      <w:r>
        <w:rPr>
          <w:rFonts w:hint="eastAsia" w:ascii="仿宋" w:hAnsi="仿宋" w:eastAsia="仿宋" w:cs="仿宋"/>
          <w:sz w:val="32"/>
          <w:szCs w:val="40"/>
        </w:rPr>
        <w:t>包括但不限于财务状况、投资知识水平、投资经验等方面的要求。</w:t>
      </w:r>
    </w:p>
    <w:p w14:paraId="514F0D83">
      <w:pPr>
        <w:rPr>
          <w:rFonts w:hint="eastAsia" w:ascii="仿宋" w:hAnsi="仿宋" w:eastAsia="仿宋" w:cs="仿宋"/>
          <w:sz w:val="32"/>
          <w:szCs w:val="40"/>
        </w:rPr>
      </w:pPr>
      <w:r>
        <w:rPr>
          <w:rFonts w:hint="eastAsia" w:ascii="楷体" w:hAnsi="楷体" w:eastAsia="楷体" w:cs="楷体"/>
          <w:b/>
          <w:bCs/>
          <w:sz w:val="32"/>
          <w:szCs w:val="40"/>
        </w:rPr>
        <w:t>第六条</w:t>
      </w:r>
      <w:r>
        <w:rPr>
          <w:rFonts w:hint="eastAsia" w:ascii="仿宋" w:hAnsi="仿宋" w:eastAsia="仿宋" w:cs="仿宋"/>
          <w:sz w:val="32"/>
          <w:szCs w:val="40"/>
        </w:rPr>
        <w:t xml:space="preserve">  天津电交所应当要求市场参与企业提供相关证明材料，并明确告知市场参与企业对所提供的信息和证明材料的真实性、准确性、完整性负责，在相关信息发生重大变化时要及时告知天津电交所。</w:t>
      </w:r>
    </w:p>
    <w:p w14:paraId="72803B2B">
      <w:pPr>
        <w:rPr>
          <w:rFonts w:hint="eastAsia" w:ascii="仿宋" w:hAnsi="仿宋" w:eastAsia="仿宋" w:cs="仿宋"/>
          <w:sz w:val="32"/>
          <w:szCs w:val="40"/>
        </w:rPr>
      </w:pPr>
      <w:r>
        <w:rPr>
          <w:rFonts w:hint="eastAsia" w:ascii="楷体" w:hAnsi="楷体" w:eastAsia="楷体" w:cs="楷体"/>
          <w:b/>
          <w:bCs/>
          <w:sz w:val="32"/>
          <w:szCs w:val="40"/>
        </w:rPr>
        <w:t>第七条</w:t>
      </w:r>
      <w:r>
        <w:rPr>
          <w:rFonts w:hint="eastAsia" w:ascii="仿宋" w:hAnsi="仿宋" w:eastAsia="仿宋" w:cs="仿宋"/>
          <w:sz w:val="32"/>
          <w:szCs w:val="40"/>
        </w:rPr>
        <w:t xml:space="preserve">  天津电交所应当提供投资知识和风险识别能力测试试卷，组织市场参与企业参加。市场参与企业测试得分高于80分的，天津电交所方可确认其通过投资知识和风险识别能力测试。</w:t>
      </w:r>
    </w:p>
    <w:p w14:paraId="419C226A">
      <w:pPr>
        <w:rPr>
          <w:rFonts w:hint="eastAsia" w:ascii="仿宋" w:hAnsi="仿宋" w:eastAsia="仿宋" w:cs="仿宋"/>
          <w:sz w:val="32"/>
          <w:szCs w:val="40"/>
        </w:rPr>
      </w:pPr>
      <w:r>
        <w:rPr>
          <w:rFonts w:hint="eastAsia" w:ascii="楷体" w:hAnsi="楷体" w:eastAsia="楷体" w:cs="楷体"/>
          <w:b/>
          <w:bCs/>
          <w:sz w:val="32"/>
          <w:szCs w:val="40"/>
        </w:rPr>
        <w:t>第八条</w:t>
      </w:r>
      <w:r>
        <w:rPr>
          <w:rFonts w:hint="eastAsia" w:ascii="仿宋" w:hAnsi="仿宋" w:eastAsia="仿宋" w:cs="仿宋"/>
          <w:sz w:val="32"/>
          <w:szCs w:val="40"/>
        </w:rPr>
        <w:t xml:space="preserve">  天津电交所应当以电子或者书面的方式，妥善保存市场参与企业相关证明文件、测试试卷和已签署</w:t>
      </w:r>
      <w:r>
        <w:rPr>
          <w:rFonts w:hint="eastAsia" w:ascii="仿宋" w:hAnsi="仿宋" w:eastAsia="仿宋" w:cs="仿宋"/>
          <w:sz w:val="32"/>
          <w:szCs w:val="40"/>
          <w:lang w:val="en-US" w:eastAsia="zh-CN"/>
        </w:rPr>
        <w:t>的</w:t>
      </w:r>
      <w:r>
        <w:rPr>
          <w:rFonts w:hint="eastAsia" w:ascii="仿宋" w:hAnsi="仿宋" w:eastAsia="仿宋" w:cs="仿宋"/>
          <w:sz w:val="32"/>
          <w:szCs w:val="40"/>
        </w:rPr>
        <w:t>各类业务相关的资料。</w:t>
      </w:r>
    </w:p>
    <w:p w14:paraId="41CE0A61">
      <w:pPr>
        <w:rPr>
          <w:rFonts w:hint="eastAsia" w:ascii="仿宋" w:hAnsi="仿宋" w:eastAsia="仿宋" w:cs="仿宋"/>
          <w:sz w:val="32"/>
          <w:szCs w:val="40"/>
        </w:rPr>
      </w:pPr>
      <w:r>
        <w:rPr>
          <w:rFonts w:hint="eastAsia" w:ascii="楷体" w:hAnsi="楷体" w:eastAsia="楷体" w:cs="楷体"/>
          <w:b/>
          <w:bCs/>
          <w:sz w:val="32"/>
          <w:szCs w:val="40"/>
        </w:rPr>
        <w:t>第九条</w:t>
      </w:r>
      <w:r>
        <w:rPr>
          <w:rFonts w:hint="eastAsia" w:ascii="仿宋" w:hAnsi="仿宋" w:eastAsia="仿宋" w:cs="仿宋"/>
          <w:sz w:val="32"/>
          <w:szCs w:val="40"/>
        </w:rPr>
        <w:t xml:space="preserve">  天津电交所应采取多种有效方式开展市场参与企业教育，充分揭示参与天津电交所各类业务交易可能面临的风险，同时加强对市场参与企业的培训和指导。</w:t>
      </w:r>
    </w:p>
    <w:p w14:paraId="5E03745F">
      <w:pPr>
        <w:rPr>
          <w:rFonts w:hint="eastAsia" w:ascii="仿宋" w:hAnsi="仿宋" w:eastAsia="仿宋" w:cs="仿宋"/>
          <w:sz w:val="32"/>
          <w:szCs w:val="40"/>
        </w:rPr>
      </w:pPr>
      <w:r>
        <w:rPr>
          <w:rFonts w:hint="eastAsia" w:ascii="楷体" w:hAnsi="楷体" w:eastAsia="楷体" w:cs="楷体"/>
          <w:b/>
          <w:bCs/>
          <w:sz w:val="32"/>
          <w:szCs w:val="40"/>
        </w:rPr>
        <w:t xml:space="preserve">第十条  </w:t>
      </w:r>
      <w:r>
        <w:rPr>
          <w:rFonts w:hint="eastAsia" w:ascii="仿宋" w:hAnsi="仿宋" w:eastAsia="仿宋" w:cs="仿宋"/>
          <w:sz w:val="32"/>
          <w:szCs w:val="40"/>
        </w:rPr>
        <w:t>市场参与企业应当配合天津电交所落实市场参与企业适当性管理</w:t>
      </w:r>
      <w:r>
        <w:rPr>
          <w:rFonts w:hint="eastAsia" w:ascii="仿宋" w:hAnsi="仿宋" w:eastAsia="仿宋" w:cs="仿宋"/>
          <w:sz w:val="32"/>
          <w:szCs w:val="40"/>
          <w:lang w:val="en-US" w:eastAsia="zh-CN"/>
        </w:rPr>
        <w:t>制度</w:t>
      </w:r>
      <w:r>
        <w:rPr>
          <w:rFonts w:hint="eastAsia" w:ascii="仿宋" w:hAnsi="仿宋" w:eastAsia="仿宋" w:cs="仿宋"/>
          <w:sz w:val="32"/>
          <w:szCs w:val="40"/>
        </w:rPr>
        <w:t>，不得采用提供虚假信息等手段规避市场参与企业适当性管理要求。</w:t>
      </w:r>
    </w:p>
    <w:p w14:paraId="129FB844">
      <w:pPr>
        <w:rPr>
          <w:rFonts w:hint="default" w:ascii="仿宋" w:hAnsi="仿宋" w:eastAsia="仿宋" w:cs="仿宋"/>
          <w:sz w:val="32"/>
          <w:szCs w:val="40"/>
          <w:lang w:val="en-US" w:eastAsia="zh-CN"/>
        </w:rPr>
      </w:pPr>
      <w:r>
        <w:rPr>
          <w:rFonts w:hint="eastAsia" w:ascii="楷体" w:hAnsi="楷体" w:eastAsia="楷体" w:cs="楷体"/>
          <w:b/>
          <w:bCs/>
          <w:sz w:val="32"/>
          <w:szCs w:val="40"/>
          <w:lang w:val="en-US" w:eastAsia="zh-CN"/>
        </w:rPr>
        <w:t>第十一条</w:t>
      </w:r>
      <w:r>
        <w:rPr>
          <w:rFonts w:hint="eastAsia" w:ascii="仿宋" w:hAnsi="仿宋" w:eastAsia="仿宋" w:cs="仿宋"/>
          <w:sz w:val="32"/>
          <w:szCs w:val="40"/>
          <w:lang w:val="en-US" w:eastAsia="zh-CN"/>
        </w:rPr>
        <w:t xml:space="preserve">  本制度由天津电交所负责解释。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60901"/>
    <w:rsid w:val="3D281F33"/>
    <w:rsid w:val="3D6465BE"/>
    <w:rsid w:val="41F06EDF"/>
    <w:rsid w:val="648C4A73"/>
    <w:rsid w:val="7A7C3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0" w:beforeAutospacing="0" w:after="100" w:afterLines="0" w:afterAutospacing="0" w:line="360" w:lineRule="auto"/>
      <w:outlineLvl w:val="0"/>
    </w:pPr>
    <w:rPr>
      <w:rFonts w:asciiTheme="minorAscii" w:hAnsiTheme="minorAscii"/>
      <w:b/>
      <w:kern w:val="44"/>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926</Words>
  <Characters>927</Characters>
  <Lines>0</Lines>
  <Paragraphs>0</Paragraphs>
  <TotalTime>24</TotalTime>
  <ScaleCrop>false</ScaleCrop>
  <LinksUpToDate>false</LinksUpToDate>
  <CharactersWithSpaces>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2025-11-13T09:07:00Z</dcterms:created>
  <dc:creator>Harley</dc:creator>
  <cp:lastModifiedBy>天交所</cp:lastModifiedBy>
  <dcterms:modified xsi:type="dcterms:W3CDTF">2026-04-10T06:43:55Z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7E92483C6EC24FBABF0189ECAFC630B2_12</vt:lpwstr>
  </property>
  <property fmtid="{D5CDD505-2E9C-101B-9397-08002B2CF9AE}" pid="4" name="KSOTemplateDocerSaveRecord">
    <vt:lpwstr>eyJoZGlkIjoiNzlkN2FiOThlZDNjZTg0MDY3NzIzMzRlNTg5NDY0ZmUiLCJ1c2VySWQiOiIxNjUyMDQxNDk1In0=</vt:lpwstr>
  </property>
</Properties>
</file>