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E663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宋体" w:hAnsi="宋体" w:eastAsia="宋体" w:cs="宋体"/>
          <w:b/>
          <w:bCs/>
          <w:sz w:val="44"/>
          <w:szCs w:val="44"/>
          <w:lang w:eastAsia="zh-CN"/>
        </w:rPr>
      </w:pPr>
      <w:bookmarkStart w:id="0" w:name="_Toc1243"/>
      <w:r>
        <w:rPr>
          <w:rFonts w:hint="eastAsia" w:ascii="宋体" w:hAnsi="宋体" w:eastAsia="宋体" w:cs="宋体"/>
          <w:b/>
          <w:bCs/>
          <w:sz w:val="44"/>
          <w:szCs w:val="44"/>
          <w:lang w:val="en-US" w:eastAsia="zh-CN"/>
        </w:rPr>
        <w:t xml:space="preserve"> </w:t>
      </w:r>
      <w:bookmarkEnd w:id="0"/>
      <w:r>
        <w:rPr>
          <w:rFonts w:hint="eastAsia" w:ascii="宋体" w:hAnsi="宋体" w:eastAsia="宋体" w:cs="宋体"/>
          <w:b/>
          <w:bCs/>
          <w:sz w:val="44"/>
          <w:szCs w:val="44"/>
          <w:lang w:eastAsia="zh-CN"/>
        </w:rPr>
        <w:t>天津国际电子商品交易有限公司</w:t>
      </w:r>
    </w:p>
    <w:p w14:paraId="514E47C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eastAsia" w:ascii="宋体" w:hAnsi="宋体" w:eastAsia="宋体" w:cs="宋体"/>
          <w:b w:val="0"/>
          <w:bCs w:val="0"/>
          <w:sz w:val="32"/>
          <w:szCs w:val="32"/>
          <w:lang w:eastAsia="zh-CN"/>
        </w:rPr>
      </w:pPr>
      <w:bookmarkStart w:id="1" w:name="_Toc14940"/>
      <w:r>
        <w:rPr>
          <w:rFonts w:hint="eastAsia" w:ascii="宋体" w:hAnsi="宋体" w:eastAsia="宋体" w:cs="宋体"/>
          <w:b/>
          <w:bCs/>
          <w:sz w:val="44"/>
          <w:szCs w:val="44"/>
          <w:highlight w:val="none"/>
          <w:lang w:val="en-US" w:eastAsia="zh-CN"/>
        </w:rPr>
        <w:t>现货商品与可信电子仓单</w:t>
      </w:r>
      <w:r>
        <w:rPr>
          <w:rFonts w:hint="eastAsia" w:ascii="宋体" w:hAnsi="宋体" w:eastAsia="宋体" w:cs="宋体"/>
          <w:b/>
          <w:bCs/>
          <w:sz w:val="44"/>
          <w:szCs w:val="44"/>
          <w:highlight w:val="none"/>
        </w:rPr>
        <w:t>交易规则</w:t>
      </w:r>
      <w:bookmarkEnd w:id="1"/>
    </w:p>
    <w:p w14:paraId="674DBE0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eastAsia="zh-CN"/>
        </w:rPr>
        <w:t>（</w:t>
      </w:r>
      <w:r>
        <w:rPr>
          <w:rFonts w:hint="eastAsia" w:ascii="宋体" w:hAnsi="宋体" w:eastAsia="宋体" w:cs="宋体"/>
          <w:b w:val="0"/>
          <w:bCs w:val="0"/>
          <w:sz w:val="32"/>
          <w:szCs w:val="32"/>
          <w:lang w:val="en-US" w:eastAsia="zh-CN"/>
        </w:rPr>
        <w:t>试</w:t>
      </w:r>
      <w:bookmarkStart w:id="13" w:name="_GoBack"/>
      <w:bookmarkEnd w:id="13"/>
      <w:r>
        <w:rPr>
          <w:rFonts w:hint="eastAsia" w:ascii="宋体" w:hAnsi="宋体" w:eastAsia="宋体" w:cs="宋体"/>
          <w:b w:val="0"/>
          <w:bCs w:val="0"/>
          <w:sz w:val="32"/>
          <w:szCs w:val="32"/>
          <w:lang w:val="en-US" w:eastAsia="zh-CN"/>
        </w:rPr>
        <w:t>行）</w:t>
      </w:r>
    </w:p>
    <w:sdt>
      <w:sdtPr>
        <w:rPr>
          <w:rFonts w:ascii="宋体" w:hAnsi="宋体" w:eastAsia="宋体" w:cstheme="minorBidi"/>
          <w:kern w:val="2"/>
          <w:sz w:val="21"/>
          <w:szCs w:val="24"/>
          <w:lang w:val="en-US" w:eastAsia="zh-CN" w:bidi="ar-SA"/>
        </w:rPr>
        <w:id w:val="147480021"/>
        <w15:color w:val="DBDBDB"/>
        <w:docPartObj>
          <w:docPartGallery w:val="Table of Contents"/>
          <w:docPartUnique/>
        </w:docPartObj>
      </w:sdtPr>
      <w:sdtEndPr>
        <w:rPr>
          <w:rFonts w:hint="eastAsia" w:ascii="宋体" w:hAnsi="宋体" w:eastAsia="宋体" w:cs="宋体"/>
          <w:bCs w:val="0"/>
          <w:kern w:val="2"/>
          <w:sz w:val="21"/>
          <w:szCs w:val="32"/>
          <w:lang w:val="en-US" w:eastAsia="zh-CN" w:bidi="ar-SA"/>
        </w:rPr>
      </w:sdtEndPr>
      <w:sdtContent>
        <w:p w14:paraId="58EE8741">
          <w:pPr>
            <w:spacing w:before="0" w:beforeLines="0" w:after="0" w:afterLines="0" w:line="240" w:lineRule="auto"/>
            <w:ind w:left="0" w:leftChars="0" w:right="0" w:rightChars="0" w:firstLine="0" w:firstLineChars="0"/>
            <w:jc w:val="center"/>
          </w:pPr>
        </w:p>
        <w:p w14:paraId="159E57B5">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val="0"/>
              <w:bCs w:val="0"/>
              <w:sz w:val="22"/>
              <w:szCs w:val="22"/>
              <w:lang w:val="en-US" w:eastAsia="zh-CN"/>
            </w:rPr>
            <w:fldChar w:fldCharType="begin"/>
          </w:r>
          <w:r>
            <w:rPr>
              <w:rFonts w:hint="eastAsia" w:ascii="仿宋" w:hAnsi="仿宋" w:eastAsia="仿宋" w:cs="仿宋"/>
              <w:b w:val="0"/>
              <w:bCs w:val="0"/>
              <w:sz w:val="22"/>
              <w:szCs w:val="22"/>
              <w:lang w:val="en-US" w:eastAsia="zh-CN"/>
            </w:rPr>
            <w:instrText xml:space="preserve">TOC \o "1-1" \h \u </w:instrText>
          </w:r>
          <w:r>
            <w:rPr>
              <w:rFonts w:hint="eastAsia" w:ascii="仿宋" w:hAnsi="仿宋" w:eastAsia="仿宋" w:cs="仿宋"/>
              <w:b w:val="0"/>
              <w:bCs w:val="0"/>
              <w:sz w:val="22"/>
              <w:szCs w:val="22"/>
              <w:lang w:val="en-US" w:eastAsia="zh-CN"/>
            </w:rPr>
            <w:fldChar w:fldCharType="separate"/>
          </w: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_Toc266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第一章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7FEEB825">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_Toc12835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第二章 术语释义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_Toc12835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301A7535">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_Toc8030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第三章 交易时间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_Toc8030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21BF3DAE">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_Toc26185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第四章 交易主体</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_Toc26185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42761798">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_Toc29985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第五章 交易方式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_Toc29985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28E477BA">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_Toc12159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第六章 交收方式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_Toc12159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31261D9A">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_Toc22180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第七章 核算方式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_Toc22180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238FD8E8">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_Toc32169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第八章 收费标准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_Toc32169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427C744A">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_Toc5544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第九章 风险管理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_Toc5544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0E532657">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_Toc16177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第十章 信息管理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_Toc16177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701C035D">
          <w:pPr>
            <w:pStyle w:val="6"/>
            <w:keepNext w:val="0"/>
            <w:keepLines w:val="0"/>
            <w:pageBreakBefore w:val="0"/>
            <w:tabs>
              <w:tab w:val="right" w:leader="dot" w:pos="8845"/>
            </w:tabs>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rPr>
          </w:pPr>
          <w:r>
            <w:rPr>
              <w:rFonts w:hint="eastAsia" w:ascii="仿宋" w:hAnsi="仿宋" w:eastAsia="仿宋" w:cs="仿宋"/>
              <w:bCs w:val="0"/>
              <w:sz w:val="24"/>
              <w:szCs w:val="24"/>
              <w:lang w:val="en-US" w:eastAsia="zh-CN"/>
            </w:rPr>
            <w:fldChar w:fldCharType="begin"/>
          </w:r>
          <w:r>
            <w:rPr>
              <w:rFonts w:hint="eastAsia" w:ascii="仿宋" w:hAnsi="仿宋" w:eastAsia="仿宋" w:cs="仿宋"/>
              <w:bCs w:val="0"/>
              <w:sz w:val="24"/>
              <w:szCs w:val="24"/>
              <w:lang w:val="en-US" w:eastAsia="zh-CN"/>
            </w:rPr>
            <w:instrText xml:space="preserve"> HYPERLINK \l _Toc25593 </w:instrText>
          </w:r>
          <w:r>
            <w:rPr>
              <w:rFonts w:hint="eastAsia" w:ascii="仿宋" w:hAnsi="仿宋" w:eastAsia="仿宋" w:cs="仿宋"/>
              <w:bCs w:val="0"/>
              <w:sz w:val="24"/>
              <w:szCs w:val="24"/>
              <w:lang w:val="en-US" w:eastAsia="zh-CN"/>
            </w:rPr>
            <w:fldChar w:fldCharType="separate"/>
          </w:r>
          <w:r>
            <w:rPr>
              <w:rFonts w:hint="eastAsia" w:ascii="仿宋" w:hAnsi="仿宋" w:eastAsia="仿宋" w:cs="仿宋"/>
              <w:bCs w:val="0"/>
              <w:sz w:val="24"/>
              <w:szCs w:val="24"/>
              <w:lang w:val="en-US" w:eastAsia="zh-CN"/>
            </w:rPr>
            <w:t>第十一章  附则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_Toc25593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bCs w:val="0"/>
              <w:sz w:val="24"/>
              <w:szCs w:val="24"/>
              <w:lang w:val="en-US" w:eastAsia="zh-CN"/>
            </w:rPr>
            <w:fldChar w:fldCharType="end"/>
          </w:r>
        </w:p>
        <w:p w14:paraId="51044D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32"/>
              <w:szCs w:val="32"/>
              <w:lang w:val="en-US" w:eastAsia="zh-CN"/>
            </w:rPr>
          </w:pPr>
          <w:r>
            <w:rPr>
              <w:rFonts w:hint="eastAsia" w:ascii="仿宋" w:hAnsi="仿宋" w:eastAsia="仿宋" w:cs="仿宋"/>
              <w:bCs w:val="0"/>
              <w:sz w:val="22"/>
              <w:szCs w:val="22"/>
              <w:lang w:val="en-US" w:eastAsia="zh-CN"/>
            </w:rPr>
            <w:fldChar w:fldCharType="end"/>
          </w:r>
        </w:p>
      </w:sdtContent>
    </w:sdt>
    <w:p w14:paraId="17088CE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val="0"/>
          <w:bCs w:val="0"/>
          <w:sz w:val="32"/>
          <w:szCs w:val="32"/>
          <w:lang w:val="en-US" w:eastAsia="zh-CN"/>
        </w:rPr>
      </w:pPr>
    </w:p>
    <w:p w14:paraId="30ABE792">
      <w:pPr>
        <w:jc w:val="center"/>
        <w:rPr>
          <w:rFonts w:hint="eastAsia" w:ascii="宋体" w:hAnsi="宋体" w:eastAsia="宋体" w:cs="宋体"/>
          <w:b w:val="0"/>
          <w:bCs w:val="0"/>
          <w:sz w:val="32"/>
          <w:szCs w:val="32"/>
          <w:lang w:val="en-US" w:eastAsia="zh-CN"/>
        </w:rPr>
      </w:pPr>
    </w:p>
    <w:p w14:paraId="6CAD8745">
      <w:pPr>
        <w:jc w:val="center"/>
        <w:rPr>
          <w:rFonts w:hint="eastAsia" w:ascii="宋体" w:hAnsi="宋体" w:eastAsia="宋体" w:cs="宋体"/>
          <w:b w:val="0"/>
          <w:bCs w:val="0"/>
          <w:sz w:val="32"/>
          <w:szCs w:val="32"/>
          <w:lang w:val="en-US" w:eastAsia="zh-CN"/>
        </w:rPr>
      </w:pPr>
    </w:p>
    <w:p w14:paraId="223773F4">
      <w:pPr>
        <w:jc w:val="center"/>
        <w:rPr>
          <w:rFonts w:hint="eastAsia" w:ascii="宋体" w:hAnsi="宋体" w:eastAsia="宋体" w:cs="宋体"/>
          <w:b w:val="0"/>
          <w:bCs w:val="0"/>
          <w:sz w:val="32"/>
          <w:szCs w:val="32"/>
          <w:lang w:val="en-US" w:eastAsia="zh-CN"/>
        </w:rPr>
      </w:pPr>
    </w:p>
    <w:p w14:paraId="2071E044">
      <w:pPr>
        <w:jc w:val="center"/>
        <w:rPr>
          <w:rFonts w:hint="eastAsia" w:ascii="宋体" w:hAnsi="宋体" w:eastAsia="宋体" w:cs="宋体"/>
          <w:b w:val="0"/>
          <w:bCs w:val="0"/>
          <w:sz w:val="32"/>
          <w:szCs w:val="32"/>
          <w:lang w:val="en-US" w:eastAsia="zh-CN"/>
        </w:rPr>
      </w:pPr>
    </w:p>
    <w:p w14:paraId="7AAEBAE7">
      <w:pPr>
        <w:jc w:val="center"/>
        <w:rPr>
          <w:rFonts w:hint="eastAsia" w:ascii="宋体" w:hAnsi="宋体" w:eastAsia="宋体" w:cs="宋体"/>
          <w:b w:val="0"/>
          <w:bCs w:val="0"/>
          <w:sz w:val="32"/>
          <w:szCs w:val="32"/>
          <w:lang w:val="en-US" w:eastAsia="zh-CN"/>
        </w:rPr>
      </w:pPr>
    </w:p>
    <w:p w14:paraId="217350D9">
      <w:pPr>
        <w:jc w:val="center"/>
        <w:rPr>
          <w:rFonts w:hint="eastAsia" w:ascii="宋体" w:hAnsi="宋体" w:eastAsia="宋体" w:cs="宋体"/>
          <w:b w:val="0"/>
          <w:bCs w:val="0"/>
          <w:sz w:val="32"/>
          <w:szCs w:val="32"/>
          <w:lang w:val="en-US" w:eastAsia="zh-CN"/>
        </w:rPr>
      </w:pPr>
    </w:p>
    <w:p w14:paraId="4C00E43A">
      <w:pPr>
        <w:jc w:val="center"/>
        <w:rPr>
          <w:rFonts w:hint="eastAsia" w:ascii="宋体" w:hAnsi="宋体" w:eastAsia="宋体" w:cs="宋体"/>
          <w:b w:val="0"/>
          <w:bCs w:val="0"/>
          <w:sz w:val="32"/>
          <w:szCs w:val="32"/>
          <w:lang w:val="en-US" w:eastAsia="zh-CN"/>
        </w:rPr>
      </w:pPr>
    </w:p>
    <w:p w14:paraId="3B6F76D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2" w:name="_Toc266"/>
      <w:r>
        <w:rPr>
          <w:rFonts w:hint="eastAsia" w:ascii="黑体" w:hAnsi="黑体" w:eastAsia="黑体" w:cs="黑体"/>
          <w:b w:val="0"/>
          <w:bCs w:val="0"/>
          <w:sz w:val="32"/>
          <w:szCs w:val="32"/>
          <w:lang w:val="en-US" w:eastAsia="zh-CN"/>
        </w:rPr>
        <w:t>第一章 总则</w:t>
      </w:r>
      <w:bookmarkEnd w:id="2"/>
    </w:p>
    <w:p w14:paraId="5A93D1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11B39E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 xml:space="preserve">第一条 </w:t>
      </w:r>
      <w:r>
        <w:rPr>
          <w:rFonts w:hint="eastAsia" w:ascii="仿宋" w:hAnsi="仿宋" w:eastAsia="仿宋" w:cs="仿宋"/>
          <w:b w:val="0"/>
          <w:bCs w:val="0"/>
          <w:sz w:val="32"/>
          <w:szCs w:val="32"/>
          <w:lang w:val="en-US" w:eastAsia="zh-CN"/>
        </w:rPr>
        <w:t>为规范市场参与企业在天津国际电子商品交易有限公司(以下简称“交易所”)参与现货商品与可信电子仓单交易业务的行为，维护正常交易秩序，保障参与各方的合法权益，根据国家有关法律、法规及本交易所相关规则制度制定本规则。</w:t>
      </w:r>
    </w:p>
    <w:p w14:paraId="7FD17A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第二条</w:t>
      </w:r>
      <w:r>
        <w:rPr>
          <w:rFonts w:hint="eastAsia" w:ascii="仿宋" w:hAnsi="仿宋" w:eastAsia="仿宋" w:cs="仿宋"/>
          <w:b w:val="0"/>
          <w:bCs w:val="0"/>
          <w:sz w:val="32"/>
          <w:szCs w:val="32"/>
          <w:lang w:val="en-US" w:eastAsia="zh-CN"/>
        </w:rPr>
        <w:t xml:space="preserve"> 本规则适用于交易所全体市场参与企业及其有关工作人员。</w:t>
      </w:r>
    </w:p>
    <w:p w14:paraId="5736A8C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6D867F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3" w:name="_Toc12835"/>
      <w:r>
        <w:rPr>
          <w:rFonts w:hint="eastAsia" w:ascii="黑体" w:hAnsi="黑体" w:eastAsia="黑体" w:cs="黑体"/>
          <w:b w:val="0"/>
          <w:bCs w:val="0"/>
          <w:sz w:val="32"/>
          <w:szCs w:val="32"/>
          <w:lang w:val="en-US" w:eastAsia="zh-CN"/>
        </w:rPr>
        <w:t>第二章 术语释义</w:t>
      </w:r>
      <w:bookmarkEnd w:id="3"/>
    </w:p>
    <w:p w14:paraId="1A6DFC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54E975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第三条</w:t>
      </w:r>
      <w:r>
        <w:rPr>
          <w:rFonts w:hint="eastAsia" w:ascii="仿宋" w:hAnsi="仿宋" w:eastAsia="仿宋" w:cs="仿宋"/>
          <w:b w:val="0"/>
          <w:bCs w:val="0"/>
          <w:sz w:val="32"/>
          <w:szCs w:val="32"/>
          <w:lang w:val="en-US" w:eastAsia="zh-CN"/>
        </w:rPr>
        <w:t xml:space="preserve"> 现货商品与可信电子仓单交易业务涉及的主要术语：</w:t>
      </w:r>
    </w:p>
    <w:p w14:paraId="6443DB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现货商品与可信电子仓单交易业务模式,是指符合交易所资质要求的现货生产及贸易企业等市场参与企业通过交易所搭建的交易平台，以可信电子仓单或商品现货为交收标的，在交易所达成现货实物交易的业务模式。</w:t>
      </w:r>
    </w:p>
    <w:p w14:paraId="7B870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买方履约订金，买方履约订金是指买方在提交交易过程中需冻结的资金。买方交易，在有卖方发布交易需求时根据卖方提交数量、提交价格以及买方履约订金标准冻结买方履约订金，生成购销合同后，买方履约订金作为冻结货款的一部分。买方履约订金标准见交易所各产品的《业务参数表》。</w:t>
      </w:r>
    </w:p>
    <w:p w14:paraId="16ADA7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卖方履约订金，卖方履约订金是指卖方在交易过程中需冻结的资金。卖方交易且交收标的为商品现货，在有买方提交交易时根据买方提交数量、提交价格以及卖方履约订金标准冻结卖方履约订金，卖方完成交收后释放卖方履约订金。卖方履约订金标准见交易所各产品的《业务参数表》。若卖方交收标的为可信电子仓单，则不再冻结卖方履约订金。</w:t>
      </w:r>
    </w:p>
    <w:p w14:paraId="6472BB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布交易需求截止日期，是指发布交易需求信息的最后有效日，在发布交易需求截止日期及以前，发布交易需求信息展示在发布交易需求列表中，提交交易方可进行提交交易操作；在发布交易需求截止日期当日交易市场闭市后，该发布交易需求信息撤销。</w:t>
      </w:r>
    </w:p>
    <w:p w14:paraId="30A5AC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一口价，是指提交交易方按照发布交易需求方价格直接成交的定价模式。发布交易需求方发布购销需求时，选择是否采用一口价的定价模式。</w:t>
      </w:r>
    </w:p>
    <w:p w14:paraId="05FD7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highlight w:val="none"/>
          <w:lang w:val="en-US" w:eastAsia="zh-CN"/>
        </w:rPr>
        <w:t>议价</w:t>
      </w:r>
      <w:r>
        <w:rPr>
          <w:rFonts w:hint="eastAsia" w:ascii="仿宋" w:hAnsi="仿宋" w:eastAsia="仿宋" w:cs="仿宋"/>
          <w:b w:val="0"/>
          <w:bCs w:val="0"/>
          <w:sz w:val="32"/>
          <w:szCs w:val="32"/>
          <w:lang w:val="en-US" w:eastAsia="zh-CN"/>
        </w:rPr>
        <w:t>，是指提交交易方参考发布交易需求方价格与发布交易需求方进行议价，最终根据议价结果成交的定价模式。发布交易需求方发布购销需求时，选择是否采用议价的定价模式。</w:t>
      </w:r>
    </w:p>
    <w:p w14:paraId="1089CB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4" w:name="_Toc8030"/>
      <w:r>
        <w:rPr>
          <w:rFonts w:hint="eastAsia" w:ascii="黑体" w:hAnsi="黑体" w:eastAsia="黑体" w:cs="黑体"/>
          <w:b w:val="0"/>
          <w:bCs w:val="0"/>
          <w:sz w:val="32"/>
          <w:szCs w:val="32"/>
          <w:lang w:val="en-US" w:eastAsia="zh-CN"/>
        </w:rPr>
        <w:t>第三章 交易时间</w:t>
      </w:r>
      <w:bookmarkEnd w:id="4"/>
    </w:p>
    <w:p w14:paraId="09D348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2301F4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第四条</w:t>
      </w:r>
      <w:r>
        <w:rPr>
          <w:rFonts w:hint="eastAsia" w:ascii="仿宋" w:hAnsi="仿宋" w:eastAsia="仿宋" w:cs="仿宋"/>
          <w:b w:val="0"/>
          <w:bCs w:val="0"/>
          <w:sz w:val="32"/>
          <w:szCs w:val="32"/>
          <w:lang w:val="en-US" w:eastAsia="zh-CN"/>
        </w:rPr>
        <w:t xml:space="preserve"> 交易时间详见各产品的《业务参数表》。</w:t>
      </w:r>
    </w:p>
    <w:p w14:paraId="71435D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第五条</w:t>
      </w:r>
      <w:r>
        <w:rPr>
          <w:rFonts w:hint="eastAsia" w:ascii="仿宋" w:hAnsi="仿宋" w:eastAsia="仿宋" w:cs="仿宋"/>
          <w:b w:val="0"/>
          <w:bCs w:val="0"/>
          <w:sz w:val="32"/>
          <w:szCs w:val="32"/>
          <w:lang w:val="en-US" w:eastAsia="zh-CN"/>
        </w:rPr>
        <w:t xml:space="preserve"> 交易所有权对交易时间进行调整，具体时间安排以交易所通知为准。</w:t>
      </w:r>
    </w:p>
    <w:p w14:paraId="62C3FB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14:paraId="21FA65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0"/>
        <w:rPr>
          <w:rFonts w:hint="eastAsia" w:ascii="黑体" w:hAnsi="黑体" w:eastAsia="黑体" w:cs="黑体"/>
          <w:b w:val="0"/>
          <w:bCs w:val="0"/>
          <w:sz w:val="32"/>
          <w:szCs w:val="32"/>
          <w:lang w:val="en-US" w:eastAsia="zh-CN"/>
        </w:rPr>
      </w:pPr>
      <w:bookmarkStart w:id="5" w:name="_Toc26185"/>
      <w:r>
        <w:rPr>
          <w:rFonts w:hint="eastAsia" w:ascii="黑体" w:hAnsi="黑体" w:eastAsia="黑体" w:cs="黑体"/>
          <w:b w:val="0"/>
          <w:bCs w:val="0"/>
          <w:sz w:val="32"/>
          <w:szCs w:val="32"/>
          <w:lang w:val="en-US" w:eastAsia="zh-CN"/>
        </w:rPr>
        <w:t>第四章 交易主体</w:t>
      </w:r>
      <w:bookmarkEnd w:id="5"/>
    </w:p>
    <w:p w14:paraId="327F2A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2C5F2D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第六条</w:t>
      </w:r>
      <w:r>
        <w:rPr>
          <w:rFonts w:hint="eastAsia" w:ascii="仿宋" w:hAnsi="仿宋" w:eastAsia="仿宋" w:cs="仿宋"/>
          <w:b w:val="0"/>
          <w:bCs w:val="0"/>
          <w:sz w:val="32"/>
          <w:szCs w:val="32"/>
          <w:lang w:val="en-US" w:eastAsia="zh-CN"/>
        </w:rPr>
        <w:t xml:space="preserve"> 经交易所认可，符合市场参与企业条件的</w:t>
      </w:r>
      <w:r>
        <w:rPr>
          <w:rFonts w:hint="eastAsia" w:ascii="仿宋" w:hAnsi="仿宋" w:eastAsia="仿宋" w:cs="仿宋"/>
          <w:b w:val="0"/>
          <w:bCs w:val="0"/>
          <w:sz w:val="32"/>
          <w:szCs w:val="32"/>
          <w:highlight w:val="none"/>
          <w:lang w:val="en-US" w:eastAsia="zh-CN"/>
        </w:rPr>
        <w:t>企业</w:t>
      </w:r>
      <w:r>
        <w:rPr>
          <w:rFonts w:hint="eastAsia" w:ascii="仿宋" w:hAnsi="仿宋" w:eastAsia="仿宋" w:cs="仿宋"/>
          <w:b w:val="0"/>
          <w:bCs w:val="0"/>
          <w:sz w:val="32"/>
          <w:szCs w:val="32"/>
          <w:lang w:val="en-US" w:eastAsia="zh-CN"/>
        </w:rPr>
        <w:t>可参与现货商品与仓单交易。</w:t>
      </w:r>
    </w:p>
    <w:p w14:paraId="790315F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第七条</w:t>
      </w:r>
      <w:r>
        <w:rPr>
          <w:rFonts w:hint="eastAsia" w:ascii="仿宋" w:hAnsi="仿宋" w:eastAsia="仿宋" w:cs="仿宋"/>
          <w:b w:val="0"/>
          <w:bCs w:val="0"/>
          <w:sz w:val="32"/>
          <w:szCs w:val="32"/>
          <w:lang w:val="en-US" w:eastAsia="zh-CN"/>
        </w:rPr>
        <w:t xml:space="preserve"> 现货商品与可信电子仓单交易的市场参与企业应为可以开具增值税专用发票的企业法人。</w:t>
      </w:r>
    </w:p>
    <w:p w14:paraId="3BC1CD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第八条</w:t>
      </w:r>
      <w:r>
        <w:rPr>
          <w:rFonts w:hint="eastAsia" w:ascii="仿宋" w:hAnsi="仿宋" w:eastAsia="仿宋" w:cs="仿宋"/>
          <w:b w:val="0"/>
          <w:bCs w:val="0"/>
          <w:sz w:val="32"/>
          <w:szCs w:val="32"/>
          <w:lang w:val="en-US" w:eastAsia="zh-CN"/>
        </w:rPr>
        <w:t xml:space="preserve"> 现货商品与可信电子仓单交易市场参与企业的经营范围，必须包含所交易的产品。</w:t>
      </w:r>
    </w:p>
    <w:p w14:paraId="20F4AE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第九条</w:t>
      </w:r>
      <w:r>
        <w:rPr>
          <w:rFonts w:hint="eastAsia" w:ascii="仿宋" w:hAnsi="仿宋" w:eastAsia="仿宋" w:cs="仿宋"/>
          <w:b w:val="0"/>
          <w:bCs w:val="0"/>
          <w:sz w:val="32"/>
          <w:szCs w:val="32"/>
          <w:lang w:val="en-US" w:eastAsia="zh-CN"/>
        </w:rPr>
        <w:t xml:space="preserve"> 除交易所明确限制范围的产品外，在交易所开户的符合本规则要求且具备现货商品与可信电子仓单交易权限的市场参与企业，均可参与现货商品与可信电子仓单交易。</w:t>
      </w:r>
    </w:p>
    <w:p w14:paraId="48101D2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4FF41A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6" w:name="_Toc29985"/>
      <w:r>
        <w:rPr>
          <w:rFonts w:hint="eastAsia" w:ascii="黑体" w:hAnsi="黑体" w:eastAsia="黑体" w:cs="黑体"/>
          <w:b w:val="0"/>
          <w:bCs w:val="0"/>
          <w:sz w:val="32"/>
          <w:szCs w:val="32"/>
          <w:lang w:val="en-US" w:eastAsia="zh-CN"/>
        </w:rPr>
        <w:t>第五章 交易方式</w:t>
      </w:r>
      <w:bookmarkEnd w:id="6"/>
    </w:p>
    <w:p w14:paraId="126473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19D308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第十条</w:t>
      </w:r>
      <w:r>
        <w:rPr>
          <w:rFonts w:hint="eastAsia" w:ascii="仿宋" w:hAnsi="仿宋" w:eastAsia="仿宋" w:cs="仿宋"/>
          <w:b w:val="0"/>
          <w:bCs w:val="0"/>
          <w:sz w:val="32"/>
          <w:szCs w:val="32"/>
          <w:lang w:val="en-US" w:eastAsia="zh-CN"/>
        </w:rPr>
        <w:t xml:space="preserve"> 现货商品与可信电子仓单交易可以分为卖方发布交易需求和买方发布交易需求两种形式。</w:t>
      </w:r>
    </w:p>
    <w:p w14:paraId="708ACA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第十一条</w:t>
      </w:r>
      <w:r>
        <w:rPr>
          <w:rFonts w:hint="eastAsia" w:ascii="仿宋" w:hAnsi="仿宋" w:eastAsia="仿宋" w:cs="仿宋"/>
          <w:b w:val="0"/>
          <w:bCs w:val="0"/>
          <w:sz w:val="32"/>
          <w:szCs w:val="32"/>
          <w:lang w:val="en-US" w:eastAsia="zh-CN"/>
        </w:rPr>
        <w:t xml:space="preserve"> 卖方发布交易时，交易流程如下：</w:t>
      </w:r>
    </w:p>
    <w:p w14:paraId="7496BFE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1.卖方发布销售需求：卖方通过交易平台提出销售交易申请，选择发布交易需求产品、交收标的(可信电子仓单或商品现货)、</w:t>
      </w:r>
      <w:r>
        <w:rPr>
          <w:rFonts w:hint="eastAsia" w:ascii="仿宋" w:hAnsi="仿宋" w:eastAsia="仿宋" w:cs="仿宋"/>
          <w:b w:val="0"/>
          <w:bCs w:val="0"/>
          <w:sz w:val="32"/>
          <w:szCs w:val="32"/>
          <w:highlight w:val="none"/>
          <w:lang w:val="en-US" w:eastAsia="zh-CN"/>
        </w:rPr>
        <w:t>定价模式(一口价或议价),</w:t>
      </w:r>
      <w:r>
        <w:rPr>
          <w:rFonts w:hint="eastAsia" w:ascii="仿宋" w:hAnsi="仿宋" w:eastAsia="仿宋" w:cs="仿宋"/>
          <w:b w:val="0"/>
          <w:bCs w:val="0"/>
          <w:sz w:val="32"/>
          <w:szCs w:val="32"/>
          <w:lang w:val="en-US" w:eastAsia="zh-CN"/>
        </w:rPr>
        <w:t>填写发布交易需求的数量、价格以及截止日期等；</w:t>
      </w:r>
    </w:p>
    <w:p w14:paraId="4016196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选择交收标的，卖方发布交易需求可选择可信电子仓单或商品现货作为交收标的。若卖方选择的交收标的为可信电子仓单，则需选择最终要交收的可信电子仓单，在交易成功时交易所冻结卖方所选的可信电子仓单，在买方提交交易时无需再冻结卖方履约订金。若卖方选择的交收标的为商品现货，则在买方提交交易时需按交易所规定冻结卖方履约订金；</w:t>
      </w:r>
    </w:p>
    <w:p w14:paraId="03FA139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买方提交交易，买方可在卖方发布交易需求列表中选择卖方销售需求进行提交交易。若卖方发布交易需求定价模式为一口价，则按照卖方发布交易需求价格达成交易，若卖方发布交易需求定价模式为议价，则买方可与卖方进行议价，最终按照议价结果达成交易。达成交易后冻结买方履约订金，并作为合同货款；</w:t>
      </w:r>
    </w:p>
    <w:p w14:paraId="01A15B13">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4.生成购销合同，买方提交交易后即生成购销合同，买卖双方按照本规则规定的交收方式完成交收；</w:t>
      </w:r>
    </w:p>
    <w:p w14:paraId="01E53D05">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5.发布交易需求撤销，在所发布交易需求的截止日期日终核算前，卖方可撤销未成交的发布交易需求。到达发布交易需求的截止日期后，未成交的交易需求自动撤销；</w:t>
      </w:r>
    </w:p>
    <w:p w14:paraId="0D2B4C6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6.发布交易需求变更，在所发布交易需求的截止日期日终核算前，卖方可更改未成交的交易需求信息，包括所发布的价格、数量和交易需求截止日期。</w:t>
      </w:r>
    </w:p>
    <w:p w14:paraId="344DD8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第十二条</w:t>
      </w:r>
      <w:r>
        <w:rPr>
          <w:rFonts w:hint="eastAsia" w:ascii="仿宋" w:hAnsi="仿宋" w:eastAsia="仿宋" w:cs="仿宋"/>
          <w:b w:val="0"/>
          <w:bCs w:val="0"/>
          <w:sz w:val="32"/>
          <w:szCs w:val="32"/>
          <w:lang w:val="en-US" w:eastAsia="zh-CN"/>
        </w:rPr>
        <w:t xml:space="preserve"> 买方发布交易需求时，交易流程如下：</w:t>
      </w:r>
    </w:p>
    <w:p w14:paraId="0C2EEB1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1.买方发布采购需求：买方通过交易平台提出采购交易申请，选择发布交易需求的产品、交收标的(可信电子仓单或商品现货)、</w:t>
      </w:r>
      <w:r>
        <w:rPr>
          <w:rFonts w:hint="eastAsia" w:ascii="仿宋" w:hAnsi="仿宋" w:eastAsia="仿宋" w:cs="仿宋"/>
          <w:b w:val="0"/>
          <w:bCs w:val="0"/>
          <w:sz w:val="32"/>
          <w:szCs w:val="32"/>
          <w:highlight w:val="none"/>
          <w:lang w:val="en-US" w:eastAsia="zh-CN"/>
        </w:rPr>
        <w:t>定价模式(一口价或议价),</w:t>
      </w:r>
      <w:r>
        <w:rPr>
          <w:rFonts w:hint="eastAsia" w:ascii="仿宋" w:hAnsi="仿宋" w:eastAsia="仿宋" w:cs="仿宋"/>
          <w:b w:val="0"/>
          <w:bCs w:val="0"/>
          <w:sz w:val="32"/>
          <w:szCs w:val="32"/>
          <w:lang w:val="en-US" w:eastAsia="zh-CN"/>
        </w:rPr>
        <w:t>填写数量、价格以及截止日期；</w:t>
      </w:r>
    </w:p>
    <w:p w14:paraId="23C528D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选择交收标的，买方发布交易需求可选择可信电子仓单或商品现货作为交收标的。若买方选择的交收标的为可信电子仓单，还需再选择所接受可信电子仓单的所在仓库。在卖方提交交易时需按交易所规定冻结买方履约订金；</w:t>
      </w:r>
    </w:p>
    <w:p w14:paraId="065B8447">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卖方提交交易，卖方可在买方发布交易需求列表中选择买方采购需求进行提交交易。若买方发布交易需求的定价模式为一口价，则按照买方发布交易需求的价格达成交易，若买方发布交易需求的定价模式为议价，则卖方可与买方进行议价，最终按照议价结果达成交易。达成交易后，若买方选择的交收标的为商品现货，则冻结卖方履约订金，并作为交收订金，若买方选择的交收标的为可信电子仓单，则冻结卖方符合买方要求和交易所规定的可信电子仓单；</w:t>
      </w:r>
    </w:p>
    <w:p w14:paraId="7251D7E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4.生成购销合同，卖方提交交易后即生成购销合同，买卖双方按照本规则规定的交收方式完成交收；</w:t>
      </w:r>
    </w:p>
    <w:p w14:paraId="2F67E45E">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5.发布交易需求撤销，在发布交易需求的截止日期日终核算前，买方可撤销未成交的所发布交易需求；</w:t>
      </w:r>
    </w:p>
    <w:p w14:paraId="4100EFB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6.发布交易需求变更，在发布交易需求的截止日期日终核算前，买方可更改未成交的交易需求的价格、数量和交易需求截止日期。</w:t>
      </w:r>
    </w:p>
    <w:p w14:paraId="798D70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第十三条</w:t>
      </w:r>
      <w:r>
        <w:rPr>
          <w:rFonts w:hint="eastAsia" w:ascii="仿宋" w:hAnsi="仿宋" w:eastAsia="仿宋" w:cs="仿宋"/>
          <w:b w:val="0"/>
          <w:bCs w:val="0"/>
          <w:sz w:val="32"/>
          <w:szCs w:val="32"/>
          <w:lang w:val="en-US" w:eastAsia="zh-CN"/>
        </w:rPr>
        <w:t xml:space="preserve"> 价格说明，现货商品与可信电子仓单交易所涉及价格均为含税价。</w:t>
      </w:r>
    </w:p>
    <w:p w14:paraId="56D966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第十四条</w:t>
      </w:r>
      <w:r>
        <w:rPr>
          <w:rFonts w:hint="eastAsia" w:ascii="仿宋" w:hAnsi="仿宋" w:eastAsia="仿宋" w:cs="仿宋"/>
          <w:b w:val="0"/>
          <w:bCs w:val="0"/>
          <w:sz w:val="32"/>
          <w:szCs w:val="32"/>
          <w:lang w:val="en-US" w:eastAsia="zh-CN"/>
        </w:rPr>
        <w:t xml:space="preserve"> 运费由提交交易方承担，双方另有协议则按双方协议执行。</w:t>
      </w:r>
    </w:p>
    <w:p w14:paraId="044EE5E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D98B6D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7" w:name="_Toc12159"/>
      <w:r>
        <w:rPr>
          <w:rFonts w:hint="eastAsia" w:ascii="黑体" w:hAnsi="黑体" w:eastAsia="黑体" w:cs="黑体"/>
          <w:b w:val="0"/>
          <w:bCs w:val="0"/>
          <w:sz w:val="32"/>
          <w:szCs w:val="32"/>
          <w:lang w:val="en-US" w:eastAsia="zh-CN"/>
        </w:rPr>
        <w:t>第六章 交收方式</w:t>
      </w:r>
      <w:bookmarkEnd w:id="7"/>
    </w:p>
    <w:p w14:paraId="082036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37FEFF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第十五条</w:t>
      </w:r>
      <w:r>
        <w:rPr>
          <w:rFonts w:hint="eastAsia" w:ascii="仿宋" w:hAnsi="仿宋" w:eastAsia="仿宋" w:cs="仿宋"/>
          <w:b w:val="0"/>
          <w:bCs w:val="0"/>
          <w:sz w:val="32"/>
          <w:szCs w:val="32"/>
          <w:lang w:val="en-US" w:eastAsia="zh-CN"/>
        </w:rPr>
        <w:t xml:space="preserve"> 现货商品与可信电子仓单交易采用即时交收的交收方式，即提交交易方提交交易成功后，立即生成购销合同进入交收。</w:t>
      </w:r>
    </w:p>
    <w:p w14:paraId="703D9F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第十六条</w:t>
      </w:r>
      <w:r>
        <w:rPr>
          <w:rFonts w:hint="eastAsia" w:ascii="仿宋" w:hAnsi="仿宋" w:eastAsia="仿宋" w:cs="仿宋"/>
          <w:b w:val="0"/>
          <w:bCs w:val="0"/>
          <w:sz w:val="32"/>
          <w:szCs w:val="32"/>
          <w:lang w:val="en-US" w:eastAsia="zh-CN"/>
        </w:rPr>
        <w:t xml:space="preserve"> 达成交收时，买方冻结的订金转为合同订金，若交收标的为可信电子仓单时，卖方冻结的可信电子仓单作为交收仓单，若交收标的为商品现货时，卖方冻结的订金作为卖方交收履约订金，当卖方完成交收后释放。</w:t>
      </w:r>
    </w:p>
    <w:p w14:paraId="09F820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第十七条</w:t>
      </w:r>
      <w:r>
        <w:rPr>
          <w:rFonts w:hint="eastAsia" w:ascii="仿宋" w:hAnsi="仿宋" w:eastAsia="仿宋" w:cs="仿宋"/>
          <w:b w:val="0"/>
          <w:bCs w:val="0"/>
          <w:sz w:val="32"/>
          <w:szCs w:val="32"/>
          <w:lang w:val="en-US" w:eastAsia="zh-CN"/>
        </w:rPr>
        <w:t xml:space="preserve"> 双方购销合同按《天津国际电子商品交易有限公司交收管理办法》执行。</w:t>
      </w:r>
    </w:p>
    <w:p w14:paraId="01F324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0057FC7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8" w:name="_Toc22180"/>
      <w:r>
        <w:rPr>
          <w:rFonts w:hint="eastAsia" w:ascii="黑体" w:hAnsi="黑体" w:eastAsia="黑体" w:cs="黑体"/>
          <w:b w:val="0"/>
          <w:bCs w:val="0"/>
          <w:sz w:val="32"/>
          <w:szCs w:val="32"/>
          <w:lang w:val="en-US" w:eastAsia="zh-CN"/>
        </w:rPr>
        <w:t>第七章 核算方式</w:t>
      </w:r>
      <w:bookmarkEnd w:id="8"/>
    </w:p>
    <w:p w14:paraId="613C17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21C0554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第十八条</w:t>
      </w:r>
      <w:r>
        <w:rPr>
          <w:rFonts w:hint="eastAsia" w:ascii="仿宋" w:hAnsi="仿宋" w:eastAsia="仿宋" w:cs="仿宋"/>
          <w:b w:val="0"/>
          <w:bCs w:val="0"/>
          <w:sz w:val="32"/>
          <w:szCs w:val="32"/>
          <w:lang w:val="en-US" w:eastAsia="zh-CN"/>
        </w:rPr>
        <w:t xml:space="preserve"> 市场参与企业可根据自愿原则委托交易所进行核算也可选择线下自行协商核算。</w:t>
      </w:r>
    </w:p>
    <w:p w14:paraId="403B54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第十九条</w:t>
      </w:r>
      <w:r>
        <w:rPr>
          <w:rFonts w:hint="eastAsia" w:ascii="仿宋" w:hAnsi="仿宋" w:eastAsia="仿宋" w:cs="仿宋"/>
          <w:b w:val="0"/>
          <w:bCs w:val="0"/>
          <w:sz w:val="32"/>
          <w:szCs w:val="32"/>
          <w:lang w:val="en-US" w:eastAsia="zh-CN"/>
        </w:rPr>
        <w:t xml:space="preserve"> 现货商品与可信电子仓单交易均采用逐笔核算方式。</w:t>
      </w:r>
    </w:p>
    <w:p w14:paraId="3A03A4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第二十条</w:t>
      </w:r>
      <w:r>
        <w:rPr>
          <w:rFonts w:hint="eastAsia" w:ascii="仿宋" w:hAnsi="仿宋" w:eastAsia="仿宋" w:cs="仿宋"/>
          <w:b w:val="0"/>
          <w:bCs w:val="0"/>
          <w:sz w:val="32"/>
          <w:szCs w:val="32"/>
          <w:lang w:val="en-US" w:eastAsia="zh-CN"/>
        </w:rPr>
        <w:t xml:space="preserve"> 详细核算方式见《天津国际电子商品交易有限公司账户核算管理办法》及《天津国际电子商品交易有限公司交收管理办法》相关条款。</w:t>
      </w:r>
    </w:p>
    <w:p w14:paraId="73C15D2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9" w:name="_Toc32169"/>
      <w:r>
        <w:rPr>
          <w:rFonts w:hint="eastAsia" w:ascii="黑体" w:hAnsi="黑体" w:eastAsia="黑体" w:cs="黑体"/>
          <w:b w:val="0"/>
          <w:bCs w:val="0"/>
          <w:sz w:val="32"/>
          <w:szCs w:val="32"/>
          <w:lang w:val="en-US" w:eastAsia="zh-CN"/>
        </w:rPr>
        <w:t>第八章 收费标准</w:t>
      </w:r>
      <w:bookmarkEnd w:id="9"/>
    </w:p>
    <w:p w14:paraId="29DE4E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056ABC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第二十一条</w:t>
      </w:r>
      <w:r>
        <w:rPr>
          <w:rFonts w:hint="eastAsia" w:ascii="仿宋" w:hAnsi="仿宋" w:eastAsia="仿宋" w:cs="仿宋"/>
          <w:b w:val="0"/>
          <w:bCs w:val="0"/>
          <w:sz w:val="32"/>
          <w:szCs w:val="32"/>
          <w:lang w:val="en-US" w:eastAsia="zh-CN"/>
        </w:rPr>
        <w:t xml:space="preserve"> 现货商品与可信电子仓单交易的市场参与企业需要根据交易所有关规定支付交易手续费、交收服务费等相关费用。</w:t>
      </w:r>
    </w:p>
    <w:p w14:paraId="5923BF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第二十二条</w:t>
      </w:r>
      <w:r>
        <w:rPr>
          <w:rFonts w:hint="eastAsia" w:ascii="仿宋" w:hAnsi="仿宋" w:eastAsia="仿宋" w:cs="仿宋"/>
          <w:b w:val="0"/>
          <w:bCs w:val="0"/>
          <w:sz w:val="32"/>
          <w:szCs w:val="32"/>
          <w:lang w:val="en-US" w:eastAsia="zh-CN"/>
        </w:rPr>
        <w:t xml:space="preserve"> 收费标准为成交金额的一定比例，具体标准及收取方式详见交易所发布的各产品《业务参数表》、入市时签订的《业务开通申请表》以及其他公示文件等。</w:t>
      </w:r>
    </w:p>
    <w:p w14:paraId="082360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 xml:space="preserve">第二十三条 </w:t>
      </w:r>
      <w:r>
        <w:rPr>
          <w:rFonts w:hint="eastAsia" w:ascii="仿宋" w:hAnsi="仿宋" w:eastAsia="仿宋" w:cs="仿宋"/>
          <w:b w:val="0"/>
          <w:bCs w:val="0"/>
          <w:sz w:val="32"/>
          <w:szCs w:val="32"/>
          <w:lang w:val="en-US" w:eastAsia="zh-CN"/>
        </w:rPr>
        <w:t>交易所有权根据市场实际情形对相关收费项目、收费标准进行调整。</w:t>
      </w:r>
    </w:p>
    <w:p w14:paraId="0708A9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7012E8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10" w:name="_Toc5544"/>
      <w:r>
        <w:rPr>
          <w:rFonts w:hint="eastAsia" w:ascii="黑体" w:hAnsi="黑体" w:eastAsia="黑体" w:cs="黑体"/>
          <w:b w:val="0"/>
          <w:bCs w:val="0"/>
          <w:sz w:val="32"/>
          <w:szCs w:val="32"/>
          <w:lang w:val="en-US" w:eastAsia="zh-CN"/>
        </w:rPr>
        <w:t>第九章 风险管理</w:t>
      </w:r>
      <w:bookmarkEnd w:id="10"/>
    </w:p>
    <w:p w14:paraId="2D03621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09D89C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第二十四条</w:t>
      </w:r>
      <w:r>
        <w:rPr>
          <w:rFonts w:hint="eastAsia" w:ascii="仿宋" w:hAnsi="仿宋" w:eastAsia="仿宋" w:cs="仿宋"/>
          <w:b w:val="0"/>
          <w:bCs w:val="0"/>
          <w:sz w:val="32"/>
          <w:szCs w:val="32"/>
          <w:lang w:val="en-US" w:eastAsia="zh-CN"/>
        </w:rPr>
        <w:t xml:space="preserve"> 在现货商品与可信电子仓单交易服务中，交易所有权根据对市场的风险评估，执行以下风险管理制度：</w:t>
      </w:r>
    </w:p>
    <w:p w14:paraId="207AA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1.履约订金制度；</w:t>
      </w:r>
    </w:p>
    <w:p w14:paraId="1C8C74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2.交易限额制度；</w:t>
      </w:r>
    </w:p>
    <w:p w14:paraId="4CB45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3.价格涨跌幅限制制度；</w:t>
      </w:r>
    </w:p>
    <w:p w14:paraId="212307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4.强行了结制度；</w:t>
      </w:r>
    </w:p>
    <w:p w14:paraId="6A7152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5.大户报告制度；</w:t>
      </w:r>
    </w:p>
    <w:p w14:paraId="6D5A9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6.风险警示制度；</w:t>
      </w:r>
    </w:p>
    <w:p w14:paraId="6BC735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7.异常情形管理制度；</w:t>
      </w:r>
    </w:p>
    <w:p w14:paraId="53948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8.交易所认为有必要采取的其他风控措施。</w:t>
      </w:r>
    </w:p>
    <w:p w14:paraId="0DA710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第二十五条</w:t>
      </w:r>
      <w:r>
        <w:rPr>
          <w:rFonts w:hint="eastAsia" w:ascii="仿宋" w:hAnsi="仿宋" w:eastAsia="仿宋" w:cs="仿宋"/>
          <w:b w:val="0"/>
          <w:bCs w:val="0"/>
          <w:sz w:val="32"/>
          <w:szCs w:val="32"/>
          <w:lang w:val="en-US" w:eastAsia="zh-CN"/>
        </w:rPr>
        <w:t xml:space="preserve"> 风险管理方法参照《天津国际电子商品交易有限公司风险管理办法》及其他相关规定。</w:t>
      </w:r>
    </w:p>
    <w:p w14:paraId="5AFCD07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val="0"/>
          <w:bCs w:val="0"/>
          <w:sz w:val="32"/>
          <w:szCs w:val="32"/>
          <w:lang w:val="en-US" w:eastAsia="zh-CN"/>
        </w:rPr>
      </w:pPr>
    </w:p>
    <w:p w14:paraId="1A761D8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0"/>
        <w:rPr>
          <w:rFonts w:hint="eastAsia" w:ascii="黑体" w:hAnsi="黑体" w:eastAsia="黑体" w:cs="黑体"/>
          <w:b w:val="0"/>
          <w:bCs w:val="0"/>
          <w:sz w:val="32"/>
          <w:szCs w:val="32"/>
          <w:lang w:val="en-US" w:eastAsia="zh-CN"/>
        </w:rPr>
      </w:pPr>
      <w:bookmarkStart w:id="11" w:name="_Toc16177"/>
      <w:r>
        <w:rPr>
          <w:rFonts w:hint="eastAsia" w:ascii="黑体" w:hAnsi="黑体" w:eastAsia="黑体" w:cs="黑体"/>
          <w:b w:val="0"/>
          <w:bCs w:val="0"/>
          <w:sz w:val="32"/>
          <w:szCs w:val="32"/>
          <w:lang w:val="en-US" w:eastAsia="zh-CN"/>
        </w:rPr>
        <w:t>第十章 信息管理</w:t>
      </w:r>
      <w:bookmarkEnd w:id="11"/>
    </w:p>
    <w:p w14:paraId="42EBF9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284BE56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第二十六条</w:t>
      </w:r>
      <w:r>
        <w:rPr>
          <w:rFonts w:hint="eastAsia" w:ascii="仿宋" w:hAnsi="仿宋" w:eastAsia="仿宋" w:cs="仿宋"/>
          <w:b w:val="0"/>
          <w:bCs w:val="0"/>
          <w:sz w:val="32"/>
          <w:szCs w:val="32"/>
          <w:lang w:val="en-US" w:eastAsia="zh-CN"/>
        </w:rPr>
        <w:t xml:space="preserve"> 交易所发布当日市场行情及市场有关信息。</w:t>
      </w:r>
    </w:p>
    <w:p w14:paraId="35E49E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第二十七条</w:t>
      </w:r>
      <w:r>
        <w:rPr>
          <w:rFonts w:hint="eastAsia" w:ascii="仿宋" w:hAnsi="仿宋" w:eastAsia="仿宋" w:cs="仿宋"/>
          <w:b w:val="0"/>
          <w:bCs w:val="0"/>
          <w:sz w:val="32"/>
          <w:szCs w:val="32"/>
          <w:lang w:val="en-US" w:eastAsia="zh-CN"/>
        </w:rPr>
        <w:t xml:space="preserve"> 交易所根据不同业务类型和上市产品发布市场行情及信息，主要包括：上市产品的最高价、最低价、最新价、开盘价、收盘价、日终核算价、到期核算价以及交易所认为需要公布的其他信息。</w:t>
      </w:r>
    </w:p>
    <w:p w14:paraId="4DCB35D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第二十八条</w:t>
      </w:r>
      <w:r>
        <w:rPr>
          <w:rFonts w:hint="eastAsia" w:ascii="仿宋" w:hAnsi="仿宋" w:eastAsia="仿宋" w:cs="仿宋"/>
          <w:b w:val="0"/>
          <w:bCs w:val="0"/>
          <w:sz w:val="32"/>
          <w:szCs w:val="32"/>
          <w:lang w:val="en-US" w:eastAsia="zh-CN"/>
        </w:rPr>
        <w:t xml:space="preserve"> 交易所根据实际情形为相关综合服务商和市场参与企业提供信息服务，并可根据实际情形收取费用。</w:t>
      </w:r>
    </w:p>
    <w:p w14:paraId="552001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第二十九条</w:t>
      </w:r>
      <w:r>
        <w:rPr>
          <w:rFonts w:hint="eastAsia" w:ascii="仿宋" w:hAnsi="仿宋" w:eastAsia="仿宋" w:cs="仿宋"/>
          <w:b w:val="0"/>
          <w:bCs w:val="0"/>
          <w:sz w:val="32"/>
          <w:szCs w:val="32"/>
          <w:lang w:val="en-US" w:eastAsia="zh-CN"/>
        </w:rPr>
        <w:t xml:space="preserve"> 交易所发布的市场行情及市场有关信息归交易所所有。未经交易所许可，任何机构和个人不得擅自使用和传播。</w:t>
      </w:r>
    </w:p>
    <w:p w14:paraId="51F68F6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5B6FCFF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sz w:val="32"/>
          <w:szCs w:val="32"/>
          <w:lang w:val="en-US" w:eastAsia="zh-CN"/>
        </w:rPr>
      </w:pPr>
      <w:bookmarkStart w:id="12" w:name="_Toc25593"/>
      <w:r>
        <w:rPr>
          <w:rFonts w:hint="eastAsia" w:ascii="黑体" w:hAnsi="黑体" w:eastAsia="黑体" w:cs="黑体"/>
          <w:b w:val="0"/>
          <w:bCs w:val="0"/>
          <w:sz w:val="32"/>
          <w:szCs w:val="32"/>
          <w:lang w:val="en-US" w:eastAsia="zh-CN"/>
        </w:rPr>
        <w:t>第十一章  附则</w:t>
      </w:r>
      <w:bookmarkEnd w:id="12"/>
    </w:p>
    <w:p w14:paraId="11F1FE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p>
    <w:p w14:paraId="4CE995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第三十条</w:t>
      </w:r>
      <w:r>
        <w:rPr>
          <w:rFonts w:hint="eastAsia" w:ascii="仿宋" w:hAnsi="仿宋" w:eastAsia="仿宋" w:cs="仿宋"/>
          <w:b w:val="0"/>
          <w:bCs w:val="0"/>
          <w:sz w:val="32"/>
          <w:szCs w:val="32"/>
          <w:lang w:val="en-US" w:eastAsia="zh-CN"/>
        </w:rPr>
        <w:t xml:space="preserve"> 本规则由天津国际电子商品交易有限公司制定、修订并解释。</w:t>
      </w:r>
    </w:p>
    <w:p w14:paraId="423FBF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第三十一条</w:t>
      </w:r>
      <w:r>
        <w:rPr>
          <w:rFonts w:hint="eastAsia" w:ascii="仿宋" w:hAnsi="仿宋" w:eastAsia="仿宋" w:cs="仿宋"/>
          <w:b w:val="0"/>
          <w:bCs w:val="0"/>
          <w:sz w:val="32"/>
          <w:szCs w:val="32"/>
          <w:lang w:val="en-US" w:eastAsia="zh-CN"/>
        </w:rPr>
        <w:t xml:space="preserve"> 交易所有权根据本规则制定相应的业务指引及流程。</w:t>
      </w:r>
    </w:p>
    <w:p w14:paraId="5F81E9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第三十二条</w:t>
      </w:r>
      <w:r>
        <w:rPr>
          <w:rFonts w:hint="eastAsia" w:ascii="仿宋" w:hAnsi="仿宋" w:eastAsia="仿宋" w:cs="仿宋"/>
          <w:b w:val="0"/>
          <w:bCs w:val="0"/>
          <w:sz w:val="32"/>
          <w:szCs w:val="32"/>
          <w:lang w:val="en-US" w:eastAsia="zh-CN"/>
        </w:rPr>
        <w:t xml:space="preserve"> 本规则自颁布之日起施行。</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1B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7757B">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7757B">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000000"/>
    <w:rsid w:val="001F7F7E"/>
    <w:rsid w:val="01113D6B"/>
    <w:rsid w:val="02327E75"/>
    <w:rsid w:val="03373831"/>
    <w:rsid w:val="04B073F7"/>
    <w:rsid w:val="05CF3554"/>
    <w:rsid w:val="06EC66E0"/>
    <w:rsid w:val="0CBD6B55"/>
    <w:rsid w:val="0E2826F4"/>
    <w:rsid w:val="15A2520D"/>
    <w:rsid w:val="177A1C19"/>
    <w:rsid w:val="19704F4F"/>
    <w:rsid w:val="20816F28"/>
    <w:rsid w:val="20B35E4D"/>
    <w:rsid w:val="226338A3"/>
    <w:rsid w:val="23146F9C"/>
    <w:rsid w:val="24125580"/>
    <w:rsid w:val="25602752"/>
    <w:rsid w:val="256736AA"/>
    <w:rsid w:val="322E5C7B"/>
    <w:rsid w:val="34DF54A1"/>
    <w:rsid w:val="386E76A4"/>
    <w:rsid w:val="38B85882"/>
    <w:rsid w:val="39033292"/>
    <w:rsid w:val="3B5A363D"/>
    <w:rsid w:val="3CF04229"/>
    <w:rsid w:val="41151DB4"/>
    <w:rsid w:val="43D1290A"/>
    <w:rsid w:val="45C83899"/>
    <w:rsid w:val="467F03FC"/>
    <w:rsid w:val="49D3441F"/>
    <w:rsid w:val="4A6F4C2B"/>
    <w:rsid w:val="4AFB026D"/>
    <w:rsid w:val="4B244216"/>
    <w:rsid w:val="4B6C324D"/>
    <w:rsid w:val="4D9A3D6D"/>
    <w:rsid w:val="51BD627C"/>
    <w:rsid w:val="55DB13C7"/>
    <w:rsid w:val="55F237CA"/>
    <w:rsid w:val="569358BE"/>
    <w:rsid w:val="5765363E"/>
    <w:rsid w:val="58134719"/>
    <w:rsid w:val="5A0B2271"/>
    <w:rsid w:val="61FB3C26"/>
    <w:rsid w:val="65C864BC"/>
    <w:rsid w:val="67576504"/>
    <w:rsid w:val="6AD55B95"/>
    <w:rsid w:val="6B9E5223"/>
    <w:rsid w:val="6D1920C9"/>
    <w:rsid w:val="6D666336"/>
    <w:rsid w:val="6FC14176"/>
    <w:rsid w:val="757C2825"/>
    <w:rsid w:val="77B74216"/>
    <w:rsid w:val="78EA52F9"/>
    <w:rsid w:val="799A0ACD"/>
    <w:rsid w:val="7BBC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3424</Words>
  <Characters>3446</Characters>
  <Lines>0</Lines>
  <Paragraphs>0</Paragraphs>
  <TotalTime>26</TotalTime>
  <ScaleCrop>false</ScaleCrop>
  <LinksUpToDate>false</LinksUpToDate>
  <CharactersWithSpaces>3536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2024-06-28T06:38:00Z</dcterms:created>
  <dc:creator>HP</dc:creator>
  <cp:lastModifiedBy>天交所</cp:lastModifiedBy>
  <dcterms:modified xsi:type="dcterms:W3CDTF">2026-04-10T06:45:52Z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4D52844871554860861AFDED22F66750_13</vt:lpwstr>
  </property>
  <property fmtid="{D5CDD505-2E9C-101B-9397-08002B2CF9AE}" pid="4" name="KSOTemplateDocerSaveRecord">
    <vt:lpwstr>eyJoZGlkIjoiNzlkN2FiOThlZDNjZTg0MDY3NzIzMzRlNTg5NDY0ZmUiLCJ1c2VySWQiOiIxNjUyMDQxNDk1In0=</vt:lpwstr>
  </property>
</Properties>
</file>