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A1D8">
      <w:pPr>
        <w:jc w:val="center"/>
        <w:rPr>
          <w:rFonts w:hint="eastAsia" w:ascii="宋体" w:hAnsi="宋体" w:eastAsia="宋体" w:cs="宋体"/>
          <w:b/>
          <w:bCs/>
          <w:sz w:val="44"/>
          <w:szCs w:val="44"/>
        </w:rPr>
      </w:pPr>
    </w:p>
    <w:p w14:paraId="694C914E">
      <w:pPr>
        <w:jc w:val="center"/>
        <w:outlineLvl w:val="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天津国际电子商品交易有限公司</w:t>
      </w:r>
    </w:p>
    <w:p w14:paraId="08CA0D83">
      <w:pPr>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账户核算</w:t>
      </w:r>
      <w:r>
        <w:rPr>
          <w:rFonts w:hint="eastAsia" w:ascii="宋体" w:hAnsi="宋体" w:eastAsia="宋体" w:cs="宋体"/>
          <w:b/>
          <w:bCs/>
          <w:sz w:val="44"/>
          <w:szCs w:val="44"/>
        </w:rPr>
        <w:t>管理办法</w:t>
      </w:r>
    </w:p>
    <w:p w14:paraId="189EEDE2">
      <w:pPr>
        <w:jc w:val="center"/>
        <w:rPr>
          <w:rFonts w:hint="eastAsia" w:ascii="宋体" w:hAnsi="宋体" w:eastAsia="宋体" w:cs="宋体"/>
          <w:b/>
          <w:bCs/>
          <w:sz w:val="44"/>
          <w:szCs w:val="44"/>
        </w:rPr>
      </w:pPr>
    </w:p>
    <w:p w14:paraId="10022E9A">
      <w:pPr>
        <w:jc w:val="center"/>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试</w:t>
      </w:r>
      <w:bookmarkStart w:id="27" w:name="_GoBack"/>
      <w:bookmarkEnd w:id="27"/>
      <w:r>
        <w:rPr>
          <w:rFonts w:hint="eastAsia" w:ascii="宋体" w:hAnsi="宋体" w:eastAsia="宋体" w:cs="宋体"/>
          <w:sz w:val="32"/>
          <w:szCs w:val="32"/>
        </w:rPr>
        <w:t>行)</w:t>
      </w:r>
    </w:p>
    <w:p w14:paraId="1FA45F5D">
      <w:pPr>
        <w:spacing w:line="317" w:lineRule="auto"/>
        <w:rPr>
          <w:rFonts w:ascii="Arial"/>
          <w:sz w:val="21"/>
        </w:rPr>
      </w:pPr>
    </w:p>
    <w:p w14:paraId="3ADB6183">
      <w:pPr>
        <w:spacing w:line="318" w:lineRule="auto"/>
        <w:rPr>
          <w:rFonts w:ascii="Arial"/>
          <w:sz w:val="21"/>
        </w:rPr>
      </w:pPr>
    </w:p>
    <w:sdt>
      <w:sdtPr>
        <w:rPr>
          <w:rFonts w:ascii="宋体" w:hAnsi="宋体" w:eastAsia="宋体" w:cs="Arial"/>
          <w:snapToGrid w:val="0"/>
          <w:color w:val="000000"/>
          <w:kern w:val="0"/>
          <w:sz w:val="21"/>
          <w:szCs w:val="21"/>
          <w:lang w:val="en-US" w:eastAsia="en-US" w:bidi="ar-SA"/>
        </w:rPr>
        <w:id w:val="147481719"/>
        <w15:color w:val="DBDBDB"/>
        <w:docPartObj>
          <w:docPartGallery w:val="Table of Contents"/>
          <w:docPartUnique/>
        </w:docPartObj>
      </w:sdtPr>
      <w:sdtEndPr>
        <w:rPr>
          <w:rFonts w:hint="eastAsia" w:ascii="仿宋" w:hAnsi="仿宋" w:eastAsia="仿宋" w:cs="仿宋"/>
          <w:snapToGrid w:val="0"/>
          <w:color w:val="000000"/>
          <w:kern w:val="0"/>
          <w:sz w:val="21"/>
          <w:szCs w:val="24"/>
          <w:lang w:val="en-US" w:eastAsia="en-US" w:bidi="ar-SA"/>
        </w:rPr>
      </w:sdtEndPr>
      <w:sdtContent>
        <w:p w14:paraId="23E2B267">
          <w:pPr>
            <w:spacing w:before="0" w:beforeLines="0" w:after="0" w:afterLines="0" w:line="240" w:lineRule="auto"/>
            <w:ind w:left="0" w:leftChars="0" w:right="0" w:rightChars="0" w:firstLine="0" w:firstLineChars="0"/>
            <w:jc w:val="center"/>
            <w:rPr>
              <w:sz w:val="28"/>
              <w:szCs w:val="28"/>
            </w:rPr>
          </w:pPr>
        </w:p>
        <w:p w14:paraId="08026CE0">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_Toc22693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  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_Toc22693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00EB479">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_Toc26654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第二章  </w:t>
          </w:r>
          <w:r>
            <w:rPr>
              <w:rFonts w:hint="eastAsia" w:ascii="仿宋" w:hAnsi="仿宋" w:eastAsia="仿宋" w:cs="仿宋"/>
              <w:sz w:val="24"/>
              <w:szCs w:val="24"/>
              <w:lang w:val="en-US" w:eastAsia="zh-CN"/>
            </w:rPr>
            <w:t>核算</w:t>
          </w:r>
          <w:r>
            <w:rPr>
              <w:rFonts w:hint="eastAsia" w:ascii="仿宋" w:hAnsi="仿宋" w:eastAsia="仿宋" w:cs="仿宋"/>
              <w:sz w:val="24"/>
              <w:szCs w:val="24"/>
            </w:rPr>
            <w:t>机构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_Toc26654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95DDD3">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_Toc20722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第三章  </w:t>
          </w:r>
          <w:r>
            <w:rPr>
              <w:rFonts w:hint="eastAsia" w:ascii="仿宋" w:hAnsi="仿宋" w:eastAsia="仿宋" w:cs="仿宋"/>
              <w:sz w:val="24"/>
              <w:szCs w:val="24"/>
              <w:lang w:val="en-US" w:eastAsia="zh-CN"/>
            </w:rPr>
            <w:t>合作</w:t>
          </w:r>
          <w:r>
            <w:rPr>
              <w:rFonts w:hint="eastAsia" w:ascii="仿宋" w:hAnsi="仿宋" w:eastAsia="仿宋" w:cs="仿宋"/>
              <w:sz w:val="24"/>
              <w:szCs w:val="24"/>
            </w:rPr>
            <w:t>银行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_Toc20722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523E323">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_Toc17371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第四章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核算</w:t>
          </w:r>
          <w:r>
            <w:rPr>
              <w:rFonts w:hint="eastAsia" w:ascii="仿宋" w:hAnsi="仿宋" w:eastAsia="仿宋" w:cs="仿宋"/>
              <w:sz w:val="24"/>
              <w:szCs w:val="24"/>
            </w:rPr>
            <w:t>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_Toc17371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5867E7">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_Toc31169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第五章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核算</w:t>
          </w:r>
          <w:r>
            <w:rPr>
              <w:rFonts w:hint="eastAsia" w:ascii="仿宋" w:hAnsi="仿宋" w:eastAsia="仿宋" w:cs="仿宋"/>
              <w:sz w:val="24"/>
              <w:szCs w:val="24"/>
            </w:rPr>
            <w:t>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0AF7F0B">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_Toc18501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第六章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风险与责任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_Toc18501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B60F0F">
          <w:pPr>
            <w:pStyle w:val="6"/>
            <w:keepNext w:val="0"/>
            <w:keepLines w:val="0"/>
            <w:pageBreakBefore w:val="0"/>
            <w:widowControl/>
            <w:tabs>
              <w:tab w:val="right" w:leader="dot" w:pos="8966"/>
            </w:tabs>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_Toc13202 </w:instrText>
          </w:r>
          <w:r>
            <w:rPr>
              <w:rFonts w:hint="eastAsia" w:ascii="仿宋" w:hAnsi="仿宋" w:eastAsia="仿宋" w:cs="仿宋"/>
              <w:sz w:val="24"/>
              <w:szCs w:val="24"/>
            </w:rPr>
            <w:fldChar w:fldCharType="separate"/>
          </w:r>
          <w:r>
            <w:rPr>
              <w:rFonts w:hint="eastAsia" w:ascii="仿宋" w:hAnsi="仿宋" w:eastAsia="仿宋" w:cs="仿宋"/>
              <w:sz w:val="24"/>
              <w:szCs w:val="24"/>
            </w:rPr>
            <w:t xml:space="preserve">第七章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附则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_Toc13202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4040EB2">
          <w:pPr>
            <w:keepNext w:val="0"/>
            <w:keepLines w:val="0"/>
            <w:pageBreakBefore w:val="0"/>
            <w:widowControl/>
            <w:wordWrap/>
            <w:overflowPunct/>
            <w:topLinePunct w:val="0"/>
            <w:bidi w:val="0"/>
            <w:spacing w:line="360" w:lineRule="auto"/>
            <w:rPr>
              <w:rFonts w:hint="eastAsia" w:ascii="仿宋" w:hAnsi="仿宋" w:eastAsia="仿宋" w:cs="仿宋"/>
              <w:snapToGrid w:val="0"/>
              <w:color w:val="000000"/>
              <w:kern w:val="0"/>
              <w:sz w:val="21"/>
              <w:szCs w:val="24"/>
              <w:lang w:val="en-US" w:eastAsia="en-US" w:bidi="ar-SA"/>
            </w:rPr>
          </w:pPr>
          <w:r>
            <w:rPr>
              <w:rFonts w:hint="eastAsia" w:ascii="仿宋" w:hAnsi="仿宋" w:eastAsia="仿宋" w:cs="仿宋"/>
              <w:sz w:val="28"/>
              <w:szCs w:val="28"/>
            </w:rPr>
            <w:fldChar w:fldCharType="end"/>
          </w:r>
        </w:p>
      </w:sdtContent>
    </w:sdt>
    <w:p w14:paraId="7715CBD8">
      <w:pPr>
        <w:spacing w:line="222" w:lineRule="auto"/>
        <w:rPr>
          <w:rFonts w:hint="eastAsia" w:ascii="仿宋" w:hAnsi="仿宋" w:eastAsia="仿宋" w:cs="仿宋"/>
          <w:snapToGrid w:val="0"/>
          <w:color w:val="000000"/>
          <w:kern w:val="0"/>
          <w:sz w:val="21"/>
          <w:szCs w:val="24"/>
          <w:lang w:val="en-US" w:eastAsia="en-US" w:bidi="ar-SA"/>
        </w:rPr>
        <w:sectPr>
          <w:footerReference r:id="rId5" w:type="default"/>
          <w:pgSz w:w="11750" w:h="16930"/>
          <w:pgMar w:top="1146" w:right="1625" w:bottom="1197" w:left="1159" w:header="0" w:footer="995" w:gutter="0"/>
          <w:pgNumType w:fmt="decimal"/>
          <w:cols w:space="720" w:num="1"/>
        </w:sectPr>
      </w:pPr>
    </w:p>
    <w:p w14:paraId="44A821E1">
      <w:pPr>
        <w:spacing w:line="243" w:lineRule="auto"/>
        <w:rPr>
          <w:rFonts w:ascii="Arial"/>
          <w:sz w:val="21"/>
        </w:rPr>
      </w:pPr>
    </w:p>
    <w:p w14:paraId="56E231C3">
      <w:pPr>
        <w:spacing w:line="243" w:lineRule="auto"/>
        <w:rPr>
          <w:rFonts w:ascii="Arial"/>
          <w:sz w:val="21"/>
        </w:rPr>
      </w:pPr>
    </w:p>
    <w:p w14:paraId="5F68F3F3">
      <w:pPr>
        <w:spacing w:line="243" w:lineRule="auto"/>
        <w:rPr>
          <w:rFonts w:ascii="Arial"/>
          <w:sz w:val="21"/>
        </w:rPr>
      </w:pPr>
    </w:p>
    <w:p w14:paraId="1354A30D">
      <w:pPr>
        <w:spacing w:line="243" w:lineRule="auto"/>
        <w:rPr>
          <w:rFonts w:ascii="Arial"/>
          <w:sz w:val="21"/>
        </w:rPr>
      </w:pPr>
    </w:p>
    <w:p w14:paraId="14DE635C">
      <w:pPr>
        <w:spacing w:line="243" w:lineRule="auto"/>
        <w:rPr>
          <w:rFonts w:ascii="Arial"/>
          <w:sz w:val="21"/>
        </w:rPr>
      </w:pPr>
    </w:p>
    <w:p w14:paraId="75C9570D">
      <w:pPr>
        <w:jc w:val="center"/>
        <w:outlineLvl w:val="0"/>
        <w:rPr>
          <w:rFonts w:hint="eastAsia" w:ascii="黑体" w:hAnsi="黑体" w:eastAsia="黑体" w:cs="黑体"/>
          <w:sz w:val="32"/>
          <w:szCs w:val="32"/>
        </w:rPr>
      </w:pPr>
      <w:bookmarkStart w:id="0" w:name="_Toc22693"/>
      <w:r>
        <w:rPr>
          <w:rFonts w:hint="eastAsia" w:ascii="黑体" w:hAnsi="黑体" w:eastAsia="黑体" w:cs="黑体"/>
          <w:sz w:val="32"/>
          <w:szCs w:val="32"/>
        </w:rPr>
        <w:t>第 一 章  总则</w:t>
      </w:r>
      <w:bookmarkEnd w:id="0"/>
    </w:p>
    <w:p w14:paraId="4740C39C">
      <w:pPr>
        <w:spacing w:line="475" w:lineRule="auto"/>
        <w:rPr>
          <w:rFonts w:ascii="Arial"/>
          <w:sz w:val="21"/>
        </w:rPr>
      </w:pPr>
    </w:p>
    <w:p w14:paraId="485B10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34" w:firstLine="601"/>
        <w:jc w:val="both"/>
        <w:textAlignment w:val="baseline"/>
        <w:rPr>
          <w:rFonts w:hint="eastAsia" w:ascii="仿宋" w:hAnsi="仿宋" w:eastAsia="仿宋" w:cs="仿宋"/>
          <w:sz w:val="32"/>
          <w:szCs w:val="32"/>
          <w:lang w:eastAsia="zh-CN"/>
        </w:rPr>
      </w:pPr>
      <w:r>
        <w:rPr>
          <w:rFonts w:hint="eastAsia" w:ascii="楷体" w:hAnsi="楷体" w:eastAsia="楷体" w:cs="楷体"/>
          <w:b/>
          <w:bCs/>
          <w:spacing w:val="19"/>
          <w:sz w:val="32"/>
          <w:szCs w:val="32"/>
        </w:rPr>
        <w:t>第一条</w:t>
      </w:r>
      <w:r>
        <w:rPr>
          <w:rFonts w:hint="eastAsia" w:ascii="楷体" w:hAnsi="楷体" w:eastAsia="楷体" w:cs="楷体"/>
          <w:b/>
          <w:bCs/>
          <w:spacing w:val="19"/>
          <w:sz w:val="32"/>
          <w:szCs w:val="32"/>
          <w:lang w:val="en-US" w:eastAsia="zh-CN"/>
        </w:rPr>
        <w:t xml:space="preserve"> </w:t>
      </w:r>
      <w:r>
        <w:rPr>
          <w:rFonts w:hint="eastAsia" w:ascii="仿宋" w:hAnsi="仿宋" w:eastAsia="仿宋" w:cs="仿宋"/>
          <w:sz w:val="32"/>
          <w:szCs w:val="32"/>
        </w:rPr>
        <w:t>为规范</w:t>
      </w:r>
      <w:r>
        <w:rPr>
          <w:rFonts w:hint="eastAsia" w:cs="仿宋"/>
          <w:sz w:val="32"/>
          <w:szCs w:val="32"/>
          <w:lang w:eastAsia="zh-CN"/>
        </w:rPr>
        <w:t>天津国际电子商品交易有限公司</w:t>
      </w:r>
      <w:r>
        <w:rPr>
          <w:rFonts w:hint="eastAsia" w:ascii="仿宋" w:hAnsi="仿宋" w:eastAsia="仿宋" w:cs="仿宋"/>
          <w:sz w:val="32"/>
          <w:szCs w:val="32"/>
        </w:rPr>
        <w:t>(以下简称“交易所”)</w:t>
      </w:r>
      <w:r>
        <w:rPr>
          <w:rFonts w:hint="eastAsia" w:ascii="仿宋" w:hAnsi="仿宋" w:eastAsia="仿宋" w:cs="仿宋"/>
          <w:sz w:val="32"/>
          <w:szCs w:val="32"/>
          <w:lang w:eastAsia="zh-CN"/>
        </w:rPr>
        <w:t>核算</w:t>
      </w:r>
      <w:r>
        <w:rPr>
          <w:rFonts w:hint="eastAsia" w:ascii="仿宋" w:hAnsi="仿宋" w:eastAsia="仿宋" w:cs="仿宋"/>
          <w:sz w:val="32"/>
          <w:szCs w:val="32"/>
        </w:rPr>
        <w:t>业务的行为，维护正常交易秩序，保障参与各方的合法权益，根据国家有关法律、法规制定本管理办法</w:t>
      </w:r>
      <w:r>
        <w:rPr>
          <w:rFonts w:hint="eastAsia" w:cs="仿宋"/>
          <w:sz w:val="32"/>
          <w:szCs w:val="32"/>
          <w:lang w:eastAsia="zh-CN"/>
        </w:rPr>
        <w:t>。</w:t>
      </w:r>
    </w:p>
    <w:p w14:paraId="6AB352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34" w:firstLine="601"/>
        <w:jc w:val="both"/>
        <w:textAlignment w:val="baseline"/>
        <w:rPr>
          <w:rFonts w:hint="eastAsia" w:ascii="仿宋" w:hAnsi="仿宋" w:eastAsia="仿宋" w:cs="仿宋"/>
          <w:b w:val="0"/>
          <w:bCs w:val="0"/>
          <w:spacing w:val="19"/>
          <w:sz w:val="32"/>
          <w:szCs w:val="32"/>
        </w:rPr>
      </w:pPr>
      <w:r>
        <w:rPr>
          <w:rFonts w:hint="eastAsia" w:ascii="楷体" w:hAnsi="楷体" w:eastAsia="楷体" w:cs="楷体"/>
          <w:b/>
          <w:bCs/>
          <w:spacing w:val="19"/>
          <w:sz w:val="32"/>
          <w:szCs w:val="32"/>
        </w:rPr>
        <w:t>第二条</w:t>
      </w:r>
      <w:r>
        <w:rPr>
          <w:rFonts w:hint="eastAsia" w:ascii="楷体" w:hAnsi="楷体" w:eastAsia="楷体" w:cs="楷体"/>
          <w:b/>
          <w:bCs/>
          <w:spacing w:val="19"/>
          <w:sz w:val="32"/>
          <w:szCs w:val="32"/>
          <w:lang w:val="en-US" w:eastAsia="zh-CN"/>
        </w:rPr>
        <w:t xml:space="preserve"> </w:t>
      </w:r>
      <w:r>
        <w:rPr>
          <w:rFonts w:hint="eastAsia" w:ascii="仿宋" w:hAnsi="仿宋" w:eastAsia="仿宋" w:cs="仿宋"/>
          <w:b w:val="0"/>
          <w:bCs w:val="0"/>
          <w:spacing w:val="19"/>
          <w:sz w:val="32"/>
          <w:szCs w:val="32"/>
        </w:rPr>
        <w:t>本管理办法适用于交易所全体</w:t>
      </w:r>
      <w:r>
        <w:rPr>
          <w:rFonts w:hint="eastAsia" w:ascii="仿宋" w:hAnsi="仿宋" w:eastAsia="仿宋" w:cs="仿宋"/>
          <w:b w:val="0"/>
          <w:bCs w:val="0"/>
          <w:spacing w:val="19"/>
          <w:sz w:val="32"/>
          <w:szCs w:val="32"/>
          <w:lang w:eastAsia="zh-CN"/>
        </w:rPr>
        <w:t>市场参与企业</w:t>
      </w:r>
      <w:r>
        <w:rPr>
          <w:rFonts w:hint="eastAsia" w:ascii="仿宋" w:hAnsi="仿宋" w:eastAsia="仿宋" w:cs="仿宋"/>
          <w:b w:val="0"/>
          <w:bCs w:val="0"/>
          <w:spacing w:val="19"/>
          <w:sz w:val="32"/>
          <w:szCs w:val="32"/>
        </w:rPr>
        <w:t>及其有关工作人员。</w:t>
      </w:r>
    </w:p>
    <w:p w14:paraId="2BF33844">
      <w:pPr>
        <w:spacing w:line="252" w:lineRule="auto"/>
        <w:jc w:val="both"/>
        <w:rPr>
          <w:rFonts w:ascii="Arial"/>
          <w:sz w:val="21"/>
        </w:rPr>
      </w:pPr>
    </w:p>
    <w:p w14:paraId="65B59662">
      <w:pPr>
        <w:spacing w:line="252" w:lineRule="auto"/>
        <w:jc w:val="both"/>
        <w:rPr>
          <w:rFonts w:ascii="Arial"/>
          <w:sz w:val="21"/>
        </w:rPr>
      </w:pPr>
    </w:p>
    <w:p w14:paraId="1D49A7CF">
      <w:pPr>
        <w:jc w:val="center"/>
        <w:outlineLvl w:val="0"/>
        <w:rPr>
          <w:rFonts w:hint="eastAsia" w:ascii="黑体" w:hAnsi="黑体" w:eastAsia="黑体" w:cs="黑体"/>
          <w:sz w:val="44"/>
          <w:szCs w:val="44"/>
        </w:rPr>
      </w:pPr>
      <w:bookmarkStart w:id="1" w:name="_Toc26654"/>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核算</w:t>
      </w:r>
      <w:r>
        <w:rPr>
          <w:rFonts w:hint="eastAsia" w:ascii="黑体" w:hAnsi="黑体" w:eastAsia="黑体" w:cs="黑体"/>
          <w:sz w:val="32"/>
          <w:szCs w:val="32"/>
        </w:rPr>
        <w:t>机构</w:t>
      </w:r>
      <w:bookmarkEnd w:id="1"/>
    </w:p>
    <w:p w14:paraId="408C3AD1">
      <w:pPr>
        <w:spacing w:line="465" w:lineRule="auto"/>
        <w:jc w:val="both"/>
        <w:rPr>
          <w:rFonts w:ascii="Arial"/>
          <w:sz w:val="21"/>
        </w:rPr>
      </w:pPr>
    </w:p>
    <w:p w14:paraId="1B4D7413">
      <w:pPr>
        <w:keepNext w:val="0"/>
        <w:keepLines w:val="0"/>
        <w:pageBreakBefore w:val="0"/>
        <w:widowControl/>
        <w:kinsoku w:val="0"/>
        <w:wordWrap/>
        <w:overflowPunct/>
        <w:topLinePunct w:val="0"/>
        <w:autoSpaceDE w:val="0"/>
        <w:autoSpaceDN w:val="0"/>
        <w:bidi w:val="0"/>
        <w:adjustRightInd w:val="0"/>
        <w:snapToGrid w:val="0"/>
        <w:spacing w:line="560" w:lineRule="exact"/>
        <w:ind w:firstLine="719" w:firstLineChars="200"/>
        <w:jc w:val="both"/>
        <w:textAlignment w:val="baseline"/>
        <w:rPr>
          <w:rFonts w:hint="eastAsia" w:ascii="仿宋" w:hAnsi="仿宋" w:eastAsia="仿宋" w:cs="仿宋"/>
          <w:sz w:val="32"/>
          <w:szCs w:val="32"/>
        </w:rPr>
      </w:pPr>
      <w:r>
        <w:rPr>
          <w:rFonts w:hint="eastAsia" w:ascii="楷体" w:hAnsi="楷体" w:eastAsia="楷体" w:cs="楷体"/>
          <w:b/>
          <w:bCs/>
          <w:spacing w:val="19"/>
          <w:sz w:val="32"/>
          <w:szCs w:val="32"/>
        </w:rPr>
        <w:t>第三条</w:t>
      </w:r>
      <w:r>
        <w:rPr>
          <w:spacing w:val="16"/>
          <w:position w:val="27"/>
          <w:sz w:val="29"/>
          <w:szCs w:val="29"/>
        </w:rPr>
        <w:t xml:space="preserve"> </w:t>
      </w:r>
      <w:r>
        <w:rPr>
          <w:rFonts w:hint="eastAsia" w:eastAsia="宋体"/>
          <w:spacing w:val="16"/>
          <w:position w:val="27"/>
          <w:sz w:val="29"/>
          <w:szCs w:val="29"/>
          <w:lang w:val="en-US" w:eastAsia="zh-CN"/>
        </w:rPr>
        <w:t xml:space="preserve"> </w:t>
      </w:r>
      <w:r>
        <w:rPr>
          <w:rFonts w:hint="eastAsia" w:ascii="仿宋" w:hAnsi="仿宋" w:eastAsia="仿宋" w:cs="仿宋"/>
          <w:sz w:val="32"/>
          <w:szCs w:val="32"/>
          <w:lang w:eastAsia="zh-CN"/>
        </w:rPr>
        <w:t>核算</w:t>
      </w:r>
      <w:r>
        <w:rPr>
          <w:rFonts w:hint="eastAsia" w:ascii="仿宋" w:hAnsi="仿宋" w:eastAsia="仿宋" w:cs="仿宋"/>
          <w:sz w:val="32"/>
          <w:szCs w:val="32"/>
        </w:rPr>
        <w:t>机构是指交易所内设置的主要负责现货交易统一</w:t>
      </w:r>
      <w:r>
        <w:rPr>
          <w:rFonts w:hint="eastAsia" w:ascii="仿宋" w:hAnsi="仿宋" w:eastAsia="仿宋" w:cs="仿宋"/>
          <w:sz w:val="32"/>
          <w:szCs w:val="32"/>
          <w:lang w:val="en-US" w:eastAsia="zh-CN"/>
        </w:rPr>
        <w:t>账户管理的机构</w:t>
      </w:r>
      <w:r>
        <w:rPr>
          <w:rFonts w:hint="eastAsia" w:ascii="仿宋" w:hAnsi="仿宋" w:eastAsia="仿宋" w:cs="仿宋"/>
          <w:sz w:val="32"/>
          <w:szCs w:val="32"/>
        </w:rPr>
        <w:t>，</w:t>
      </w:r>
      <w:r>
        <w:rPr>
          <w:rFonts w:hint="eastAsia" w:ascii="仿宋" w:hAnsi="仿宋" w:eastAsia="仿宋" w:cs="仿宋"/>
          <w:sz w:val="32"/>
          <w:szCs w:val="32"/>
          <w:lang w:val="en-US" w:eastAsia="zh-CN"/>
        </w:rPr>
        <w:t>配合银行完成以下主要职责</w:t>
      </w:r>
      <w:r>
        <w:rPr>
          <w:rFonts w:hint="eastAsia" w:ascii="仿宋" w:hAnsi="仿宋" w:eastAsia="仿宋" w:cs="仿宋"/>
          <w:sz w:val="32"/>
          <w:szCs w:val="32"/>
        </w:rPr>
        <w:t>。</w:t>
      </w:r>
    </w:p>
    <w:p w14:paraId="2180070B">
      <w:pPr>
        <w:keepNext w:val="0"/>
        <w:keepLines w:val="0"/>
        <w:pageBreakBefore w:val="0"/>
        <w:widowControl/>
        <w:kinsoku w:val="0"/>
        <w:wordWrap/>
        <w:overflowPunct/>
        <w:topLinePunct w:val="0"/>
        <w:autoSpaceDE w:val="0"/>
        <w:autoSpaceDN w:val="0"/>
        <w:bidi w:val="0"/>
        <w:adjustRightInd w:val="0"/>
        <w:snapToGrid w:val="0"/>
        <w:spacing w:line="560" w:lineRule="exact"/>
        <w:ind w:firstLine="719" w:firstLineChars="200"/>
        <w:jc w:val="both"/>
        <w:textAlignment w:val="baseline"/>
        <w:outlineLvl w:val="1"/>
        <w:rPr>
          <w:rFonts w:hint="eastAsia" w:ascii="楷体" w:hAnsi="楷体" w:eastAsia="楷体" w:cs="楷体"/>
          <w:b/>
          <w:bCs/>
          <w:spacing w:val="19"/>
          <w:sz w:val="32"/>
          <w:szCs w:val="32"/>
        </w:rPr>
      </w:pPr>
      <w:bookmarkStart w:id="2" w:name="_Toc19138"/>
      <w:r>
        <w:rPr>
          <w:rFonts w:hint="eastAsia" w:ascii="楷体" w:hAnsi="楷体" w:eastAsia="楷体" w:cs="楷体"/>
          <w:b/>
          <w:bCs/>
          <w:spacing w:val="19"/>
          <w:sz w:val="32"/>
          <w:szCs w:val="32"/>
        </w:rPr>
        <w:t xml:space="preserve">第四条 </w:t>
      </w:r>
      <w:r>
        <w:rPr>
          <w:rFonts w:hint="eastAsia" w:ascii="仿宋" w:hAnsi="仿宋" w:eastAsia="仿宋" w:cs="仿宋"/>
          <w:b w:val="0"/>
          <w:bCs w:val="0"/>
          <w:spacing w:val="19"/>
          <w:sz w:val="32"/>
          <w:szCs w:val="32"/>
          <w:lang w:eastAsia="zh-CN"/>
        </w:rPr>
        <w:t>核算</w:t>
      </w:r>
      <w:r>
        <w:rPr>
          <w:rFonts w:hint="eastAsia" w:ascii="仿宋" w:hAnsi="仿宋" w:eastAsia="仿宋" w:cs="仿宋"/>
          <w:b w:val="0"/>
          <w:bCs w:val="0"/>
          <w:spacing w:val="19"/>
          <w:sz w:val="32"/>
          <w:szCs w:val="32"/>
        </w:rPr>
        <w:t>机构的主要职责：</w:t>
      </w:r>
      <w:bookmarkEnd w:id="2"/>
    </w:p>
    <w:p w14:paraId="00CD178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负责管理市场参与</w:t>
      </w:r>
      <w:r>
        <w:rPr>
          <w:rFonts w:hint="eastAsia" w:ascii="仿宋" w:hAnsi="仿宋" w:eastAsia="仿宋" w:cs="仿宋"/>
          <w:sz w:val="32"/>
          <w:szCs w:val="32"/>
          <w:lang w:val="en-US" w:eastAsia="zh-CN"/>
        </w:rPr>
        <w:t>企业</w:t>
      </w:r>
      <w:r>
        <w:rPr>
          <w:rFonts w:hint="eastAsia" w:ascii="仿宋" w:hAnsi="仿宋" w:eastAsia="仿宋" w:cs="仿宋"/>
          <w:sz w:val="32"/>
          <w:szCs w:val="32"/>
        </w:rPr>
        <w:t>的履约订金；</w:t>
      </w:r>
    </w:p>
    <w:p w14:paraId="1D517A6C">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2. 登记和编制</w:t>
      </w:r>
      <w:r>
        <w:rPr>
          <w:rFonts w:hint="eastAsia" w:ascii="仿宋" w:hAnsi="仿宋" w:eastAsia="仿宋" w:cs="仿宋"/>
          <w:sz w:val="32"/>
          <w:szCs w:val="32"/>
          <w:lang w:eastAsia="zh-CN"/>
        </w:rPr>
        <w:t>核算</w:t>
      </w:r>
      <w:r>
        <w:rPr>
          <w:rFonts w:hint="eastAsia" w:ascii="仿宋" w:hAnsi="仿宋" w:eastAsia="仿宋" w:cs="仿宋"/>
          <w:sz w:val="32"/>
          <w:szCs w:val="32"/>
          <w:lang w:val="en-US" w:eastAsia="zh-CN"/>
        </w:rPr>
        <w:t>报表</w:t>
      </w:r>
      <w:r>
        <w:rPr>
          <w:rFonts w:hint="eastAsia" w:ascii="仿宋" w:hAnsi="仿宋" w:eastAsia="仿宋" w:cs="仿宋"/>
          <w:sz w:val="32"/>
          <w:szCs w:val="32"/>
        </w:rPr>
        <w:t>；</w:t>
      </w:r>
    </w:p>
    <w:p w14:paraId="59A09DA7">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3. 办理交易交收</w:t>
      </w:r>
      <w:r>
        <w:rPr>
          <w:rFonts w:hint="eastAsia" w:ascii="仿宋" w:hAnsi="仿宋" w:eastAsia="仿宋" w:cs="仿宋"/>
          <w:sz w:val="32"/>
          <w:szCs w:val="32"/>
          <w:lang w:eastAsia="zh-CN"/>
        </w:rPr>
        <w:t>核算</w:t>
      </w:r>
      <w:r>
        <w:rPr>
          <w:rFonts w:hint="eastAsia" w:ascii="仿宋" w:hAnsi="仿宋" w:eastAsia="仿宋" w:cs="仿宋"/>
          <w:sz w:val="32"/>
          <w:szCs w:val="32"/>
        </w:rPr>
        <w:t>业务；</w:t>
      </w:r>
    </w:p>
    <w:p w14:paraId="1B4B0C82">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为</w:t>
      </w:r>
      <w:r>
        <w:rPr>
          <w:rFonts w:hint="eastAsia" w:ascii="仿宋" w:hAnsi="仿宋" w:eastAsia="仿宋" w:cs="仿宋"/>
          <w:sz w:val="32"/>
          <w:szCs w:val="32"/>
          <w:lang w:eastAsia="zh-CN"/>
        </w:rPr>
        <w:t>市场参与企业</w:t>
      </w:r>
      <w:r>
        <w:rPr>
          <w:rFonts w:hint="eastAsia" w:ascii="仿宋" w:hAnsi="仿宋" w:eastAsia="仿宋" w:cs="仿宋"/>
          <w:sz w:val="32"/>
          <w:szCs w:val="32"/>
        </w:rPr>
        <w:t>提供</w:t>
      </w:r>
      <w:r>
        <w:rPr>
          <w:rFonts w:hint="eastAsia" w:ascii="仿宋" w:hAnsi="仿宋" w:eastAsia="仿宋" w:cs="仿宋"/>
          <w:sz w:val="32"/>
          <w:szCs w:val="32"/>
          <w:lang w:eastAsia="zh-CN"/>
        </w:rPr>
        <w:t>核算</w:t>
      </w:r>
      <w:r>
        <w:rPr>
          <w:rFonts w:hint="eastAsia" w:ascii="仿宋" w:hAnsi="仿宋" w:eastAsia="仿宋" w:cs="仿宋"/>
          <w:sz w:val="32"/>
          <w:szCs w:val="32"/>
        </w:rPr>
        <w:t>数据查询及核实的服务；</w:t>
      </w:r>
    </w:p>
    <w:p w14:paraId="68B7926A">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监控</w:t>
      </w:r>
      <w:r>
        <w:rPr>
          <w:rFonts w:hint="eastAsia" w:ascii="仿宋" w:hAnsi="仿宋" w:eastAsia="仿宋" w:cs="仿宋"/>
          <w:sz w:val="32"/>
          <w:szCs w:val="32"/>
          <w:lang w:eastAsia="zh-CN"/>
        </w:rPr>
        <w:t>核算</w:t>
      </w:r>
      <w:r>
        <w:rPr>
          <w:rFonts w:hint="eastAsia" w:ascii="仿宋" w:hAnsi="仿宋" w:eastAsia="仿宋" w:cs="仿宋"/>
          <w:sz w:val="32"/>
          <w:szCs w:val="32"/>
        </w:rPr>
        <w:t>过程中出现的问题以及对异常数据的处理过程，直至处理</w:t>
      </w:r>
      <w:r>
        <w:rPr>
          <w:rFonts w:hint="eastAsia" w:ascii="仿宋" w:hAnsi="仿宋" w:eastAsia="仿宋" w:cs="仿宋"/>
          <w:sz w:val="32"/>
          <w:szCs w:val="32"/>
          <w:lang w:val="en-US" w:eastAsia="zh-CN"/>
        </w:rPr>
        <w:t>完毕；</w:t>
      </w:r>
    </w:p>
    <w:p w14:paraId="6A637C7B">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rPr>
      </w:pPr>
      <w:bookmarkStart w:id="3" w:name="_Toc28891"/>
      <w:r>
        <w:rPr>
          <w:rFonts w:hint="eastAsia" w:ascii="仿宋" w:hAnsi="仿宋" w:eastAsia="仿宋" w:cs="仿宋"/>
          <w:sz w:val="32"/>
          <w:szCs w:val="32"/>
          <w:lang w:val="en-US" w:eastAsia="zh-CN"/>
        </w:rPr>
        <w:t>6</w:t>
      </w:r>
      <w:r>
        <w:rPr>
          <w:rFonts w:hint="eastAsia" w:ascii="仿宋" w:hAnsi="仿宋" w:eastAsia="仿宋" w:cs="仿宋"/>
          <w:sz w:val="32"/>
          <w:szCs w:val="32"/>
        </w:rPr>
        <w:t>. 汇总、统计、分析、报告</w:t>
      </w:r>
      <w:r>
        <w:rPr>
          <w:rFonts w:hint="eastAsia" w:ascii="仿宋" w:hAnsi="仿宋" w:eastAsia="仿宋" w:cs="仿宋"/>
          <w:sz w:val="32"/>
          <w:szCs w:val="32"/>
          <w:lang w:eastAsia="zh-CN"/>
        </w:rPr>
        <w:t>核算</w:t>
      </w:r>
      <w:r>
        <w:rPr>
          <w:rFonts w:hint="eastAsia" w:ascii="仿宋" w:hAnsi="仿宋" w:eastAsia="仿宋" w:cs="仿宋"/>
          <w:sz w:val="32"/>
          <w:szCs w:val="32"/>
        </w:rPr>
        <w:t>数据；</w:t>
      </w:r>
      <w:bookmarkEnd w:id="3"/>
    </w:p>
    <w:p w14:paraId="22BF429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 保管</w:t>
      </w:r>
      <w:r>
        <w:rPr>
          <w:rFonts w:hint="eastAsia" w:ascii="仿宋" w:hAnsi="仿宋" w:eastAsia="仿宋" w:cs="仿宋"/>
          <w:sz w:val="32"/>
          <w:szCs w:val="32"/>
          <w:lang w:eastAsia="zh-CN"/>
        </w:rPr>
        <w:t>核算</w:t>
      </w:r>
      <w:r>
        <w:rPr>
          <w:rFonts w:hint="eastAsia" w:ascii="仿宋" w:hAnsi="仿宋" w:eastAsia="仿宋" w:cs="仿宋"/>
          <w:sz w:val="32"/>
          <w:szCs w:val="32"/>
        </w:rPr>
        <w:t>资料及相关凭证，保证其真实与完整，保管期限不少于20年；</w:t>
      </w:r>
    </w:p>
    <w:p w14:paraId="2980CF7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 负责与合作银行之间的业务洽谈，合作协议的</w:t>
      </w:r>
      <w:r>
        <w:rPr>
          <w:rFonts w:hint="eastAsia" w:ascii="仿宋" w:hAnsi="仿宋" w:eastAsia="仿宋" w:cs="仿宋"/>
          <w:sz w:val="32"/>
          <w:szCs w:val="32"/>
          <w:lang w:val="en-US" w:eastAsia="zh-CN"/>
        </w:rPr>
        <w:t>拟定</w:t>
      </w:r>
      <w:r>
        <w:rPr>
          <w:rFonts w:hint="eastAsia" w:ascii="仿宋" w:hAnsi="仿宋" w:eastAsia="仿宋" w:cs="仿宋"/>
          <w:sz w:val="32"/>
          <w:szCs w:val="32"/>
          <w:lang w:eastAsia="zh-CN"/>
        </w:rPr>
        <w:t>、</w:t>
      </w:r>
      <w:r>
        <w:rPr>
          <w:rFonts w:hint="eastAsia" w:ascii="仿宋" w:hAnsi="仿宋" w:eastAsia="仿宋" w:cs="仿宋"/>
          <w:sz w:val="32"/>
          <w:szCs w:val="32"/>
        </w:rPr>
        <w:t>确认与签署，业务系统的对接以及持续的业务跟进等</w:t>
      </w:r>
      <w:r>
        <w:rPr>
          <w:rFonts w:hint="eastAsia" w:ascii="仿宋" w:hAnsi="仿宋" w:eastAsia="仿宋" w:cs="仿宋"/>
          <w:sz w:val="32"/>
          <w:szCs w:val="32"/>
          <w:lang w:val="en-US" w:eastAsia="zh-CN"/>
        </w:rPr>
        <w:t>工作</w:t>
      </w:r>
      <w:r>
        <w:rPr>
          <w:rFonts w:hint="eastAsia" w:ascii="仿宋" w:hAnsi="仿宋" w:eastAsia="仿宋" w:cs="仿宋"/>
          <w:sz w:val="32"/>
          <w:szCs w:val="32"/>
        </w:rPr>
        <w:t>。</w:t>
      </w:r>
    </w:p>
    <w:p w14:paraId="33B75491">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 交易所与合作银行</w:t>
      </w:r>
      <w:r>
        <w:rPr>
          <w:rFonts w:hint="eastAsia" w:ascii="仿宋" w:hAnsi="仿宋" w:eastAsia="仿宋" w:cs="仿宋"/>
          <w:sz w:val="32"/>
          <w:szCs w:val="32"/>
          <w:lang w:val="en-US" w:eastAsia="zh-CN"/>
        </w:rPr>
        <w:t>之间</w:t>
      </w:r>
      <w:r>
        <w:rPr>
          <w:rFonts w:hint="eastAsia" w:ascii="仿宋" w:hAnsi="仿宋" w:eastAsia="仿宋" w:cs="仿宋"/>
          <w:sz w:val="32"/>
          <w:szCs w:val="32"/>
        </w:rPr>
        <w:t>其他涉及交易交收资金</w:t>
      </w:r>
      <w:r>
        <w:rPr>
          <w:rFonts w:hint="eastAsia" w:ascii="仿宋" w:hAnsi="仿宋" w:eastAsia="仿宋" w:cs="仿宋"/>
          <w:sz w:val="32"/>
          <w:szCs w:val="32"/>
          <w:lang w:eastAsia="zh-CN"/>
        </w:rPr>
        <w:t>核算</w:t>
      </w:r>
      <w:r>
        <w:rPr>
          <w:rFonts w:hint="eastAsia" w:ascii="仿宋" w:hAnsi="仿宋" w:eastAsia="仿宋" w:cs="仿宋"/>
          <w:sz w:val="32"/>
          <w:szCs w:val="32"/>
        </w:rPr>
        <w:t>的相关事项。</w:t>
      </w:r>
    </w:p>
    <w:p w14:paraId="3AC5995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rPr>
      </w:pPr>
      <w:r>
        <w:rPr>
          <w:rFonts w:hint="eastAsia" w:ascii="楷体" w:hAnsi="楷体" w:eastAsia="楷体" w:cs="楷体"/>
          <w:b/>
          <w:bCs/>
          <w:sz w:val="32"/>
          <w:szCs w:val="32"/>
        </w:rPr>
        <w:t xml:space="preserve">第五条 </w:t>
      </w:r>
      <w:r>
        <w:rPr>
          <w:rFonts w:hint="eastAsia" w:ascii="仿宋" w:hAnsi="仿宋" w:eastAsia="仿宋" w:cs="仿宋"/>
          <w:sz w:val="32"/>
          <w:szCs w:val="32"/>
        </w:rPr>
        <w:t>交易所有权不定期检查</w:t>
      </w:r>
      <w:r>
        <w:rPr>
          <w:rFonts w:hint="eastAsia" w:ascii="仿宋" w:hAnsi="仿宋" w:eastAsia="仿宋" w:cs="仿宋"/>
          <w:sz w:val="32"/>
          <w:szCs w:val="32"/>
          <w:lang w:eastAsia="zh-CN"/>
        </w:rPr>
        <w:t>市场参与企业</w:t>
      </w:r>
      <w:r>
        <w:rPr>
          <w:rFonts w:hint="eastAsia" w:ascii="仿宋" w:hAnsi="仿宋" w:eastAsia="仿宋" w:cs="仿宋"/>
          <w:sz w:val="32"/>
          <w:szCs w:val="32"/>
        </w:rPr>
        <w:t>的</w:t>
      </w:r>
      <w:r>
        <w:rPr>
          <w:rFonts w:hint="eastAsia" w:ascii="仿宋" w:hAnsi="仿宋" w:eastAsia="仿宋" w:cs="仿宋"/>
          <w:sz w:val="32"/>
          <w:szCs w:val="32"/>
          <w:lang w:eastAsia="zh-CN"/>
        </w:rPr>
        <w:t>核算</w:t>
      </w:r>
      <w:r>
        <w:rPr>
          <w:rFonts w:hint="eastAsia" w:ascii="仿宋" w:hAnsi="仿宋" w:eastAsia="仿宋" w:cs="仿宋"/>
          <w:sz w:val="32"/>
          <w:szCs w:val="32"/>
        </w:rPr>
        <w:t>资料及相关凭证，</w:t>
      </w:r>
      <w:r>
        <w:rPr>
          <w:rFonts w:hint="eastAsia" w:ascii="仿宋" w:hAnsi="仿宋" w:eastAsia="仿宋" w:cs="仿宋"/>
          <w:sz w:val="32"/>
          <w:szCs w:val="32"/>
          <w:lang w:eastAsia="zh-CN"/>
        </w:rPr>
        <w:t>市场参与企业</w:t>
      </w:r>
      <w:r>
        <w:rPr>
          <w:rFonts w:hint="eastAsia" w:ascii="仿宋" w:hAnsi="仿宋" w:eastAsia="仿宋" w:cs="仿宋"/>
          <w:sz w:val="32"/>
          <w:szCs w:val="32"/>
          <w:lang w:val="en-US" w:eastAsia="zh-CN"/>
        </w:rPr>
        <w:t>应</w:t>
      </w:r>
      <w:r>
        <w:rPr>
          <w:rFonts w:hint="eastAsia" w:ascii="仿宋" w:hAnsi="仿宋" w:eastAsia="仿宋" w:cs="仿宋"/>
          <w:sz w:val="32"/>
          <w:szCs w:val="32"/>
        </w:rPr>
        <w:t>予以积极配合</w:t>
      </w:r>
      <w:r>
        <w:rPr>
          <w:rFonts w:hint="eastAsia"/>
        </w:rPr>
        <w:t>。</w:t>
      </w:r>
    </w:p>
    <w:p w14:paraId="4DFE4D7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z w:val="32"/>
          <w:szCs w:val="32"/>
        </w:rPr>
        <w:t>第六条</w:t>
      </w:r>
      <w:r>
        <w:rPr>
          <w:rFonts w:hint="eastAsia"/>
        </w:rPr>
        <w:t xml:space="preserve"> </w:t>
      </w:r>
      <w:r>
        <w:rPr>
          <w:rFonts w:hint="eastAsia" w:ascii="仿宋" w:hAnsi="仿宋" w:eastAsia="仿宋" w:cs="仿宋"/>
          <w:sz w:val="32"/>
          <w:szCs w:val="32"/>
        </w:rPr>
        <w:t>交易所</w:t>
      </w:r>
      <w:r>
        <w:rPr>
          <w:rFonts w:hint="eastAsia" w:ascii="仿宋" w:hAnsi="仿宋" w:eastAsia="仿宋" w:cs="仿宋"/>
          <w:sz w:val="32"/>
          <w:szCs w:val="32"/>
          <w:lang w:eastAsia="zh-CN"/>
        </w:rPr>
        <w:t>核算</w:t>
      </w:r>
      <w:r>
        <w:rPr>
          <w:rFonts w:hint="eastAsia" w:ascii="仿宋" w:hAnsi="仿宋" w:eastAsia="仿宋" w:cs="仿宋"/>
          <w:sz w:val="32"/>
          <w:szCs w:val="32"/>
        </w:rPr>
        <w:t>机构及其工作人员应当保守交易所和市场参与者的商业秘密。</w:t>
      </w:r>
    </w:p>
    <w:p w14:paraId="20C7DC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rPr>
      </w:pPr>
    </w:p>
    <w:p w14:paraId="50BD6703">
      <w:pPr>
        <w:jc w:val="center"/>
        <w:outlineLvl w:val="0"/>
        <w:rPr>
          <w:rFonts w:ascii="Arial"/>
          <w:sz w:val="21"/>
        </w:rPr>
      </w:pPr>
      <w:bookmarkStart w:id="4" w:name="_Toc20722"/>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合作</w:t>
      </w:r>
      <w:r>
        <w:rPr>
          <w:rFonts w:hint="eastAsia" w:ascii="黑体" w:hAnsi="黑体" w:eastAsia="黑体" w:cs="黑体"/>
          <w:sz w:val="32"/>
          <w:szCs w:val="32"/>
        </w:rPr>
        <w:t>银行</w:t>
      </w:r>
      <w:bookmarkEnd w:id="4"/>
    </w:p>
    <w:p w14:paraId="7190987F">
      <w:pPr>
        <w:spacing w:line="242" w:lineRule="auto"/>
        <w:jc w:val="both"/>
        <w:rPr>
          <w:rFonts w:ascii="Arial"/>
          <w:sz w:val="21"/>
        </w:rPr>
      </w:pPr>
    </w:p>
    <w:p w14:paraId="3B853F0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第七条</w:t>
      </w:r>
      <w:r>
        <w:rPr>
          <w:spacing w:val="70"/>
          <w:position w:val="29"/>
          <w:sz w:val="28"/>
          <w:szCs w:val="28"/>
        </w:rPr>
        <w:t xml:space="preserve"> </w:t>
      </w:r>
      <w:r>
        <w:rPr>
          <w:rFonts w:hint="eastAsia" w:ascii="仿宋" w:hAnsi="仿宋" w:eastAsia="仿宋" w:cs="仿宋"/>
          <w:sz w:val="32"/>
          <w:szCs w:val="32"/>
          <w:lang w:eastAsia="zh-CN"/>
        </w:rPr>
        <w:t>合作银行</w:t>
      </w:r>
      <w:r>
        <w:rPr>
          <w:rFonts w:hint="eastAsia" w:ascii="仿宋" w:hAnsi="仿宋" w:eastAsia="仿宋" w:cs="仿宋"/>
          <w:sz w:val="32"/>
          <w:szCs w:val="32"/>
        </w:rPr>
        <w:t>是指交易所指定的、协助交易所办理交易</w:t>
      </w:r>
      <w:r>
        <w:rPr>
          <w:rFonts w:hint="eastAsia" w:ascii="仿宋" w:hAnsi="仿宋" w:eastAsia="仿宋" w:cs="仿宋"/>
          <w:sz w:val="32"/>
          <w:szCs w:val="32"/>
          <w:lang w:eastAsia="zh-CN"/>
        </w:rPr>
        <w:t>核算</w:t>
      </w:r>
      <w:r>
        <w:rPr>
          <w:rFonts w:hint="eastAsia" w:ascii="仿宋" w:hAnsi="仿宋" w:eastAsia="仿宋" w:cs="仿宋"/>
          <w:sz w:val="32"/>
          <w:szCs w:val="32"/>
        </w:rPr>
        <w:t>业务的银行类金融服务商。</w:t>
      </w:r>
    </w:p>
    <w:p w14:paraId="2AD64C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94"/>
        <w:jc w:val="both"/>
        <w:textAlignment w:val="baseline"/>
        <w:outlineLvl w:val="1"/>
        <w:rPr>
          <w:rFonts w:hint="eastAsia" w:ascii="仿宋" w:hAnsi="仿宋" w:eastAsia="仿宋" w:cs="仿宋"/>
          <w:snapToGrid w:val="0"/>
          <w:color w:val="000000"/>
          <w:kern w:val="0"/>
          <w:sz w:val="32"/>
          <w:szCs w:val="32"/>
          <w:lang w:val="en-US" w:eastAsia="zh-CN" w:bidi="ar-SA"/>
        </w:rPr>
      </w:pPr>
      <w:bookmarkStart w:id="5" w:name="_Toc17462"/>
      <w:r>
        <w:rPr>
          <w:rFonts w:hint="eastAsia" w:ascii="楷体" w:hAnsi="楷体" w:eastAsia="楷体" w:cs="楷体"/>
          <w:b/>
          <w:bCs/>
          <w:snapToGrid w:val="0"/>
          <w:color w:val="000000"/>
          <w:kern w:val="0"/>
          <w:sz w:val="32"/>
          <w:szCs w:val="32"/>
          <w:lang w:val="en-US" w:eastAsia="en-US" w:bidi="ar-SA"/>
        </w:rPr>
        <w:t>第八条</w:t>
      </w:r>
      <w:r>
        <w:rPr>
          <w:spacing w:val="66"/>
          <w:sz w:val="28"/>
          <w:szCs w:val="28"/>
        </w:rPr>
        <w:t xml:space="preserve"> </w:t>
      </w:r>
      <w:r>
        <w:rPr>
          <w:rFonts w:hint="eastAsia" w:ascii="仿宋" w:hAnsi="仿宋" w:eastAsia="仿宋" w:cs="仿宋"/>
          <w:snapToGrid w:val="0"/>
          <w:color w:val="000000"/>
          <w:kern w:val="0"/>
          <w:sz w:val="32"/>
          <w:szCs w:val="32"/>
          <w:lang w:val="en-US" w:eastAsia="zh-CN" w:bidi="ar-SA"/>
        </w:rPr>
        <w:t>合作银行须符合以下条件：</w:t>
      </w:r>
      <w:bookmarkEnd w:id="5"/>
    </w:p>
    <w:p w14:paraId="1CE32EC8">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 全国性的商业银行，资金雄厚，信誉良好；</w:t>
      </w:r>
    </w:p>
    <w:p w14:paraId="6FFA03CB">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在全国各主要城市设有分支机构和营业网点；</w:t>
      </w:r>
    </w:p>
    <w:p w14:paraId="3F30677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具备先进、快速的异地资金划拨能力；</w:t>
      </w:r>
    </w:p>
    <w:p w14:paraId="5D2C1A24">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交易所认为必须具备的其他条件。</w:t>
      </w:r>
    </w:p>
    <w:p w14:paraId="67307AF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lang w:eastAsia="zh-CN"/>
        </w:rPr>
      </w:pPr>
      <w:bookmarkStart w:id="6" w:name="_Toc20420"/>
      <w:r>
        <w:rPr>
          <w:rFonts w:hint="eastAsia" w:ascii="楷体" w:hAnsi="楷体" w:eastAsia="楷体" w:cs="楷体"/>
          <w:b/>
          <w:bCs/>
          <w:snapToGrid w:val="0"/>
          <w:color w:val="000000"/>
          <w:kern w:val="0"/>
          <w:sz w:val="32"/>
          <w:szCs w:val="32"/>
          <w:lang w:val="en-US" w:eastAsia="en-US" w:bidi="ar-SA"/>
        </w:rPr>
        <w:t>第九条</w:t>
      </w:r>
      <w:r>
        <w:t xml:space="preserve"> </w:t>
      </w:r>
      <w:r>
        <w:rPr>
          <w:rFonts w:hint="eastAsia" w:ascii="仿宋" w:hAnsi="仿宋" w:eastAsia="仿宋" w:cs="仿宋"/>
          <w:sz w:val="32"/>
          <w:szCs w:val="32"/>
          <w:lang w:eastAsia="zh-CN"/>
        </w:rPr>
        <w:t>合作银行的权利：</w:t>
      </w:r>
      <w:bookmarkEnd w:id="6"/>
    </w:p>
    <w:p w14:paraId="234252C5">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1. 开设交易所银行</w:t>
      </w:r>
      <w:r>
        <w:rPr>
          <w:rFonts w:hint="eastAsia" w:ascii="仿宋" w:hAnsi="仿宋" w:eastAsia="仿宋" w:cs="仿宋"/>
          <w:sz w:val="32"/>
          <w:szCs w:val="32"/>
          <w:lang w:val="en-US" w:eastAsia="zh-CN"/>
        </w:rPr>
        <w:t>核算</w:t>
      </w:r>
      <w:r>
        <w:rPr>
          <w:rFonts w:hint="eastAsia" w:ascii="仿宋" w:hAnsi="仿宋" w:eastAsia="仿宋" w:cs="仿宋"/>
          <w:sz w:val="32"/>
          <w:szCs w:val="32"/>
          <w:lang w:eastAsia="zh-CN"/>
        </w:rPr>
        <w:t>账户、市场参与企业银行核算账户及其他与核算有关的账户；</w:t>
      </w:r>
    </w:p>
    <w:p w14:paraId="107AD0C8">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lang w:eastAsia="zh-CN"/>
        </w:rPr>
      </w:pPr>
      <w:bookmarkStart w:id="7" w:name="_Toc23867"/>
      <w:r>
        <w:rPr>
          <w:rFonts w:hint="eastAsia" w:ascii="仿宋" w:hAnsi="仿宋" w:eastAsia="仿宋" w:cs="仿宋"/>
          <w:sz w:val="32"/>
          <w:szCs w:val="32"/>
          <w:lang w:eastAsia="zh-CN"/>
        </w:rPr>
        <w:t>2. 了解市场参与企业在交易所的资信情况。</w:t>
      </w:r>
      <w:bookmarkEnd w:id="7"/>
    </w:p>
    <w:p w14:paraId="30601C6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lang w:eastAsia="zh-CN"/>
        </w:rPr>
      </w:pPr>
      <w:bookmarkStart w:id="8" w:name="_Toc17378"/>
      <w:r>
        <w:rPr>
          <w:rFonts w:hint="eastAsia" w:ascii="楷体" w:hAnsi="楷体" w:eastAsia="楷体" w:cs="楷体"/>
          <w:b/>
          <w:bCs/>
          <w:snapToGrid w:val="0"/>
          <w:color w:val="000000"/>
          <w:kern w:val="0"/>
          <w:sz w:val="32"/>
          <w:szCs w:val="32"/>
          <w:lang w:val="en-US" w:eastAsia="en-US" w:bidi="ar-SA"/>
        </w:rPr>
        <w:t>第十条</w:t>
      </w:r>
      <w:r>
        <w:t xml:space="preserve"> </w:t>
      </w:r>
      <w:r>
        <w:rPr>
          <w:rFonts w:hint="eastAsia" w:ascii="仿宋" w:hAnsi="仿宋" w:eastAsia="仿宋" w:cs="仿宋"/>
          <w:sz w:val="32"/>
          <w:szCs w:val="32"/>
          <w:lang w:eastAsia="zh-CN"/>
        </w:rPr>
        <w:t>合作银行的义务：</w:t>
      </w:r>
      <w:bookmarkEnd w:id="8"/>
    </w:p>
    <w:p w14:paraId="2572A704">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outlineLvl w:val="2"/>
        <w:rPr>
          <w:rFonts w:hint="eastAsia" w:ascii="仿宋" w:hAnsi="仿宋" w:eastAsia="仿宋" w:cs="仿宋"/>
          <w:sz w:val="32"/>
          <w:szCs w:val="32"/>
          <w:lang w:eastAsia="zh-CN"/>
        </w:rPr>
      </w:pPr>
      <w:bookmarkStart w:id="9" w:name="_Toc17526"/>
      <w:r>
        <w:rPr>
          <w:rFonts w:hint="eastAsia" w:ascii="仿宋" w:hAnsi="仿宋" w:eastAsia="仿宋" w:cs="仿宋"/>
          <w:sz w:val="32"/>
          <w:szCs w:val="32"/>
          <w:lang w:eastAsia="zh-CN"/>
        </w:rPr>
        <w:t>1. 向交易所提供市场参与企业银行核算账户的资金情况；</w:t>
      </w:r>
      <w:bookmarkEnd w:id="9"/>
    </w:p>
    <w:p w14:paraId="328C4E9D">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2. 根据交易所提供的票据或指令划转市场参与企业的资金，并及时将资金划转结果和相关账户变动信息反馈给交易所；</w:t>
      </w:r>
    </w:p>
    <w:p w14:paraId="377C0339">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pPr>
      <w:r>
        <w:rPr>
          <w:rFonts w:hint="eastAsia" w:ascii="仿宋" w:hAnsi="仿宋" w:eastAsia="仿宋" w:cs="仿宋"/>
          <w:sz w:val="32"/>
          <w:szCs w:val="32"/>
          <w:lang w:eastAsia="zh-CN"/>
        </w:rPr>
        <w:t>3. 保障交易所系统与银行资金系统之间的对接，</w:t>
      </w:r>
      <w:r>
        <w:rPr>
          <w:rFonts w:hint="eastAsia" w:ascii="仿宋" w:hAnsi="仿宋" w:eastAsia="仿宋" w:cs="仿宋"/>
          <w:sz w:val="32"/>
          <w:szCs w:val="32"/>
          <w:lang w:val="en-US" w:eastAsia="zh-CN"/>
        </w:rPr>
        <w:t>负责</w:t>
      </w:r>
      <w:r>
        <w:rPr>
          <w:rFonts w:hint="eastAsia" w:ascii="仿宋" w:hAnsi="仿宋" w:eastAsia="仿宋" w:cs="仿宋"/>
          <w:sz w:val="32"/>
          <w:szCs w:val="32"/>
          <w:lang w:eastAsia="zh-CN"/>
        </w:rPr>
        <w:t>业务正式运营之前的需求确认、系统测试以及持续的系统连接维护等工作；</w:t>
      </w:r>
    </w:p>
    <w:p w14:paraId="5AEEEF6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 w:hAnsi="仿宋" w:eastAsia="仿宋" w:cs="仿宋"/>
          <w:sz w:val="32"/>
          <w:szCs w:val="32"/>
          <w:lang w:eastAsia="zh-CN"/>
        </w:rPr>
      </w:pPr>
      <w:bookmarkStart w:id="10" w:name="_Toc16396"/>
      <w:r>
        <w:rPr>
          <w:rFonts w:hint="eastAsia" w:ascii="仿宋" w:hAnsi="仿宋" w:eastAsia="仿宋" w:cs="仿宋"/>
          <w:sz w:val="32"/>
          <w:szCs w:val="32"/>
          <w:lang w:eastAsia="zh-CN"/>
        </w:rPr>
        <w:t>4. 协助交易所核查市场参与企业资金的来源和去向；</w:t>
      </w:r>
      <w:bookmarkEnd w:id="10"/>
    </w:p>
    <w:p w14:paraId="688F4F2B">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根据交易所要求，对市场参与企业银行核算账户中的资金实行必要的监管措施；</w:t>
      </w:r>
    </w:p>
    <w:p w14:paraId="70741B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2"/>
        <w:rPr>
          <w:rFonts w:hint="eastAsia" w:ascii="仿宋" w:hAnsi="仿宋" w:eastAsia="仿宋" w:cs="仿宋"/>
          <w:sz w:val="32"/>
          <w:szCs w:val="32"/>
          <w:lang w:eastAsia="zh-CN"/>
        </w:rPr>
      </w:pPr>
      <w:bookmarkStart w:id="11" w:name="_Toc17541"/>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 保守交易所、市场参与企业的商业秘密；</w:t>
      </w:r>
      <w:bookmarkEnd w:id="11"/>
    </w:p>
    <w:p w14:paraId="57163847">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 接受交易所对其市场参与企业履约订金、商品货款</w:t>
      </w:r>
      <w:r>
        <w:rPr>
          <w:rFonts w:hint="eastAsia" w:ascii="仿宋" w:hAnsi="仿宋" w:eastAsia="仿宋" w:cs="仿宋"/>
          <w:sz w:val="32"/>
          <w:szCs w:val="32"/>
          <w:lang w:val="en-US" w:eastAsia="zh-CN"/>
        </w:rPr>
        <w:t>及</w:t>
      </w:r>
      <w:r>
        <w:rPr>
          <w:rFonts w:hint="eastAsia" w:ascii="仿宋" w:hAnsi="仿宋" w:eastAsia="仿宋" w:cs="仿宋"/>
          <w:sz w:val="32"/>
          <w:szCs w:val="32"/>
          <w:lang w:eastAsia="zh-CN"/>
        </w:rPr>
        <w:t>其他相关资金存放业务的监督。</w:t>
      </w:r>
    </w:p>
    <w:p w14:paraId="3D8371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z w:val="32"/>
          <w:szCs w:val="32"/>
          <w:lang w:eastAsia="zh-CN"/>
        </w:rPr>
      </w:pPr>
    </w:p>
    <w:p w14:paraId="50EF0BE1">
      <w:pPr>
        <w:numPr>
          <w:ilvl w:val="0"/>
          <w:numId w:val="1"/>
        </w:numPr>
        <w:jc w:val="center"/>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2" w:name="_Toc17371"/>
      <w:r>
        <w:rPr>
          <w:rFonts w:hint="eastAsia" w:ascii="黑体" w:hAnsi="黑体" w:eastAsia="黑体" w:cs="黑体"/>
          <w:sz w:val="32"/>
          <w:szCs w:val="32"/>
          <w:lang w:eastAsia="zh-CN"/>
        </w:rPr>
        <w:t>核算</w:t>
      </w:r>
      <w:r>
        <w:rPr>
          <w:rFonts w:hint="eastAsia" w:ascii="黑体" w:hAnsi="黑体" w:eastAsia="黑体" w:cs="黑体"/>
          <w:sz w:val="32"/>
          <w:szCs w:val="32"/>
        </w:rPr>
        <w:t>原则</w:t>
      </w:r>
      <w:bookmarkEnd w:id="12"/>
    </w:p>
    <w:p w14:paraId="25CC73BD">
      <w:pPr>
        <w:jc w:val="both"/>
      </w:pPr>
    </w:p>
    <w:p w14:paraId="471D70B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rPr>
      </w:pPr>
      <w:bookmarkStart w:id="13" w:name="_Toc2115"/>
      <w:r>
        <w:rPr>
          <w:rFonts w:hint="eastAsia" w:ascii="楷体" w:hAnsi="楷体" w:eastAsia="楷体" w:cs="楷体"/>
          <w:b/>
          <w:bCs/>
          <w:snapToGrid w:val="0"/>
          <w:color w:val="000000"/>
          <w:kern w:val="0"/>
          <w:sz w:val="32"/>
          <w:szCs w:val="32"/>
          <w:lang w:val="en-US" w:eastAsia="en-US" w:bidi="ar-SA"/>
        </w:rPr>
        <w:t>第十一条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可根据自愿原则委托交易所进行</w:t>
      </w:r>
      <w:r>
        <w:rPr>
          <w:rFonts w:hint="eastAsia" w:ascii="仿宋" w:hAnsi="仿宋" w:eastAsia="仿宋" w:cs="仿宋"/>
          <w:sz w:val="32"/>
          <w:szCs w:val="32"/>
          <w:lang w:eastAsia="zh-CN"/>
        </w:rPr>
        <w:t>核算。</w:t>
      </w:r>
      <w:bookmarkEnd w:id="13"/>
    </w:p>
    <w:p w14:paraId="0B66200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 xml:space="preserve">第十二条 </w:t>
      </w:r>
      <w:r>
        <w:rPr>
          <w:rFonts w:hint="eastAsia" w:ascii="仿宋" w:hAnsi="仿宋" w:eastAsia="仿宋" w:cs="仿宋"/>
          <w:sz w:val="32"/>
          <w:szCs w:val="32"/>
        </w:rPr>
        <w:t xml:space="preserve"> 日终</w:t>
      </w:r>
      <w:r>
        <w:rPr>
          <w:rFonts w:hint="eastAsia" w:ascii="仿宋" w:hAnsi="仿宋" w:eastAsia="仿宋" w:cs="仿宋"/>
          <w:sz w:val="32"/>
          <w:szCs w:val="32"/>
          <w:lang w:eastAsia="zh-CN"/>
        </w:rPr>
        <w:t>核算</w:t>
      </w:r>
      <w:r>
        <w:rPr>
          <w:rFonts w:hint="eastAsia" w:ascii="仿宋" w:hAnsi="仿宋" w:eastAsia="仿宋" w:cs="仿宋"/>
          <w:sz w:val="32"/>
          <w:szCs w:val="32"/>
        </w:rPr>
        <w:t>方式，是指交易所对</w:t>
      </w:r>
      <w:r>
        <w:rPr>
          <w:rFonts w:hint="eastAsia" w:ascii="仿宋" w:hAnsi="仿宋" w:eastAsia="仿宋" w:cs="仿宋"/>
          <w:sz w:val="32"/>
          <w:szCs w:val="32"/>
          <w:lang w:eastAsia="zh-CN"/>
        </w:rPr>
        <w:t>市场参与企业</w:t>
      </w:r>
      <w:r>
        <w:rPr>
          <w:rFonts w:hint="eastAsia" w:ascii="仿宋" w:hAnsi="仿宋" w:eastAsia="仿宋" w:cs="仿宋"/>
          <w:sz w:val="32"/>
          <w:szCs w:val="32"/>
        </w:rPr>
        <w:t>在每日收市后的交易结果，包括盈亏资金、交易交收资金</w:t>
      </w:r>
      <w:r>
        <w:rPr>
          <w:rFonts w:hint="eastAsia" w:ascii="仿宋" w:hAnsi="仿宋" w:eastAsia="仿宋" w:cs="仿宋"/>
          <w:sz w:val="32"/>
          <w:szCs w:val="32"/>
          <w:lang w:eastAsia="zh-CN"/>
        </w:rPr>
        <w:t>、</w:t>
      </w:r>
      <w:r>
        <w:rPr>
          <w:rFonts w:hint="eastAsia" w:ascii="仿宋" w:hAnsi="仿宋" w:eastAsia="仿宋" w:cs="仿宋"/>
          <w:sz w:val="32"/>
          <w:szCs w:val="32"/>
        </w:rPr>
        <w:t>各项费用等进行计算并划转，以确定其权益的行为。</w:t>
      </w:r>
    </w:p>
    <w:p w14:paraId="6807D1B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逐笔</w:t>
      </w:r>
      <w:r>
        <w:rPr>
          <w:rFonts w:hint="eastAsia" w:ascii="仿宋" w:hAnsi="仿宋" w:eastAsia="仿宋" w:cs="仿宋"/>
          <w:sz w:val="32"/>
          <w:szCs w:val="32"/>
          <w:lang w:eastAsia="zh-CN"/>
        </w:rPr>
        <w:t>核算</w:t>
      </w:r>
      <w:r>
        <w:rPr>
          <w:rFonts w:hint="eastAsia" w:ascii="仿宋" w:hAnsi="仿宋" w:eastAsia="仿宋" w:cs="仿宋"/>
          <w:sz w:val="32"/>
          <w:szCs w:val="32"/>
        </w:rPr>
        <w:t>方式，是指交易所对</w:t>
      </w:r>
      <w:r>
        <w:rPr>
          <w:rFonts w:hint="eastAsia" w:ascii="仿宋" w:hAnsi="仿宋" w:eastAsia="仿宋" w:cs="仿宋"/>
          <w:sz w:val="32"/>
          <w:szCs w:val="32"/>
          <w:lang w:eastAsia="zh-CN"/>
        </w:rPr>
        <w:t>市场参与企业</w:t>
      </w:r>
      <w:r>
        <w:rPr>
          <w:rFonts w:hint="eastAsia" w:ascii="仿宋" w:hAnsi="仿宋" w:eastAsia="仿宋" w:cs="仿宋"/>
          <w:sz w:val="32"/>
          <w:szCs w:val="32"/>
        </w:rPr>
        <w:t>每次成交的结果包括盈亏资金</w:t>
      </w:r>
      <w:r>
        <w:rPr>
          <w:rFonts w:hint="eastAsia" w:ascii="仿宋" w:hAnsi="仿宋" w:eastAsia="仿宋" w:cs="仿宋"/>
          <w:sz w:val="32"/>
          <w:szCs w:val="32"/>
          <w:lang w:eastAsia="zh-CN"/>
        </w:rPr>
        <w:t>、</w:t>
      </w:r>
      <w:r>
        <w:rPr>
          <w:rFonts w:hint="eastAsia" w:ascii="仿宋" w:hAnsi="仿宋" w:eastAsia="仿宋" w:cs="仿宋"/>
          <w:sz w:val="32"/>
          <w:szCs w:val="32"/>
        </w:rPr>
        <w:t>交易交收资金、各项费用等进行计算并划转，以确定其权益的行为。</w:t>
      </w:r>
    </w:p>
    <w:p w14:paraId="1D669B3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第十四条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交易所根据各业务模式的不同采用日终</w:t>
      </w:r>
      <w:r>
        <w:rPr>
          <w:rFonts w:hint="eastAsia" w:ascii="仿宋" w:hAnsi="仿宋" w:eastAsia="仿宋" w:cs="仿宋"/>
          <w:sz w:val="32"/>
          <w:szCs w:val="32"/>
          <w:lang w:eastAsia="zh-CN"/>
        </w:rPr>
        <w:t>核算</w:t>
      </w:r>
      <w:r>
        <w:rPr>
          <w:rFonts w:hint="eastAsia" w:ascii="仿宋" w:hAnsi="仿宋" w:eastAsia="仿宋" w:cs="仿宋"/>
          <w:sz w:val="32"/>
          <w:szCs w:val="32"/>
        </w:rPr>
        <w:t>或者逐笔</w:t>
      </w:r>
      <w:r>
        <w:rPr>
          <w:rFonts w:hint="eastAsia" w:ascii="仿宋" w:hAnsi="仿宋" w:eastAsia="仿宋" w:cs="仿宋"/>
          <w:sz w:val="32"/>
          <w:szCs w:val="32"/>
          <w:lang w:eastAsia="zh-CN"/>
        </w:rPr>
        <w:t>核算</w:t>
      </w:r>
      <w:r>
        <w:rPr>
          <w:rFonts w:hint="eastAsia" w:ascii="仿宋" w:hAnsi="仿宋" w:eastAsia="仿宋" w:cs="仿宋"/>
          <w:sz w:val="32"/>
          <w:szCs w:val="32"/>
        </w:rPr>
        <w:t>方式，详见各交易模式的交易规则。</w:t>
      </w:r>
    </w:p>
    <w:p w14:paraId="4A3CBB3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第十五条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次日资金</w:t>
      </w:r>
      <w:r>
        <w:rPr>
          <w:rFonts w:hint="eastAsia" w:ascii="仿宋" w:hAnsi="仿宋" w:eastAsia="仿宋" w:cs="仿宋"/>
          <w:sz w:val="32"/>
          <w:szCs w:val="32"/>
          <w:lang w:eastAsia="zh-CN"/>
        </w:rPr>
        <w:t>核算</w:t>
      </w:r>
      <w:r>
        <w:rPr>
          <w:rFonts w:hint="eastAsia" w:ascii="仿宋" w:hAnsi="仿宋" w:eastAsia="仿宋" w:cs="仿宋"/>
          <w:sz w:val="32"/>
          <w:szCs w:val="32"/>
        </w:rPr>
        <w:t>，是指交易所通过合作银行对市场参与者经过</w:t>
      </w:r>
      <w:r>
        <w:rPr>
          <w:rFonts w:hint="eastAsia" w:ascii="仿宋" w:hAnsi="仿宋" w:eastAsia="仿宋" w:cs="仿宋"/>
          <w:sz w:val="32"/>
          <w:szCs w:val="32"/>
          <w:lang w:eastAsia="zh-CN"/>
        </w:rPr>
        <w:t>核算</w:t>
      </w:r>
      <w:r>
        <w:rPr>
          <w:rFonts w:hint="eastAsia" w:ascii="仿宋" w:hAnsi="仿宋" w:eastAsia="仿宋" w:cs="仿宋"/>
          <w:sz w:val="32"/>
          <w:szCs w:val="32"/>
        </w:rPr>
        <w:t>产生的费用及资金变</w:t>
      </w:r>
      <w:r>
        <w:rPr>
          <w:rFonts w:hint="eastAsia" w:ascii="仿宋" w:hAnsi="仿宋" w:eastAsia="仿宋" w:cs="仿宋"/>
          <w:sz w:val="32"/>
          <w:szCs w:val="32"/>
          <w:lang w:val="en-US" w:eastAsia="zh-CN"/>
        </w:rPr>
        <w:t>动于</w:t>
      </w:r>
      <w:r>
        <w:rPr>
          <w:rFonts w:hint="eastAsia" w:ascii="仿宋" w:hAnsi="仿宋" w:eastAsia="仿宋" w:cs="仿宋"/>
          <w:sz w:val="32"/>
          <w:szCs w:val="32"/>
        </w:rPr>
        <w:t>下一个银行工作日内进行资金</w:t>
      </w:r>
      <w:r>
        <w:rPr>
          <w:rFonts w:hint="eastAsia" w:ascii="仿宋" w:hAnsi="仿宋" w:eastAsia="仿宋" w:cs="仿宋"/>
          <w:sz w:val="32"/>
          <w:szCs w:val="32"/>
          <w:lang w:eastAsia="zh-CN"/>
        </w:rPr>
        <w:t>核算</w:t>
      </w:r>
      <w:r>
        <w:rPr>
          <w:rFonts w:hint="eastAsia" w:ascii="仿宋" w:hAnsi="仿宋" w:eastAsia="仿宋" w:cs="仿宋"/>
          <w:sz w:val="32"/>
          <w:szCs w:val="32"/>
        </w:rPr>
        <w:t>。</w:t>
      </w:r>
    </w:p>
    <w:p w14:paraId="2C5DB72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第十六条</w:t>
      </w:r>
      <w:r>
        <w:rPr>
          <w:rFonts w:hint="eastAsia" w:ascii="仿宋" w:hAnsi="仿宋" w:eastAsia="仿宋" w:cs="仿宋"/>
          <w:sz w:val="32"/>
          <w:szCs w:val="32"/>
        </w:rPr>
        <w:t xml:space="preserve">  交易所负责向委托交易所</w:t>
      </w:r>
      <w:r>
        <w:rPr>
          <w:rFonts w:hint="eastAsia" w:ascii="仿宋" w:hAnsi="仿宋" w:eastAsia="仿宋" w:cs="仿宋"/>
          <w:sz w:val="32"/>
          <w:szCs w:val="32"/>
          <w:lang w:eastAsia="zh-CN"/>
        </w:rPr>
        <w:t>核算</w:t>
      </w:r>
      <w:r>
        <w:rPr>
          <w:rFonts w:hint="eastAsia" w:ascii="仿宋" w:hAnsi="仿宋" w:eastAsia="仿宋" w:cs="仿宋"/>
          <w:sz w:val="32"/>
          <w:szCs w:val="32"/>
        </w:rPr>
        <w:t>的</w:t>
      </w:r>
      <w:r>
        <w:rPr>
          <w:rFonts w:hint="eastAsia" w:ascii="仿宋" w:hAnsi="仿宋" w:eastAsia="仿宋" w:cs="仿宋"/>
          <w:sz w:val="32"/>
          <w:szCs w:val="32"/>
          <w:lang w:eastAsia="zh-CN"/>
        </w:rPr>
        <w:t>市场参与企业</w:t>
      </w:r>
      <w:r>
        <w:rPr>
          <w:rFonts w:hint="eastAsia" w:ascii="仿宋" w:hAnsi="仿宋" w:eastAsia="仿宋" w:cs="仿宋"/>
          <w:sz w:val="32"/>
          <w:szCs w:val="32"/>
        </w:rPr>
        <w:t>提供、解释</w:t>
      </w:r>
      <w:r>
        <w:rPr>
          <w:rFonts w:hint="eastAsia" w:ascii="仿宋" w:hAnsi="仿宋" w:eastAsia="仿宋" w:cs="仿宋"/>
          <w:sz w:val="32"/>
          <w:szCs w:val="32"/>
          <w:lang w:eastAsia="zh-CN"/>
        </w:rPr>
        <w:t>核算</w:t>
      </w:r>
      <w:r>
        <w:rPr>
          <w:rFonts w:hint="eastAsia" w:ascii="仿宋" w:hAnsi="仿宋" w:eastAsia="仿宋" w:cs="仿宋"/>
          <w:sz w:val="32"/>
          <w:szCs w:val="32"/>
        </w:rPr>
        <w:t>数据。</w:t>
      </w:r>
    </w:p>
    <w:p w14:paraId="7B13DB71">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第十七条</w:t>
      </w:r>
      <w:r>
        <w:rPr>
          <w:rFonts w:hint="eastAsia" w:ascii="仿宋" w:hAnsi="仿宋" w:eastAsia="仿宋" w:cs="仿宋"/>
          <w:sz w:val="32"/>
          <w:szCs w:val="32"/>
        </w:rPr>
        <w:t xml:space="preserve">  线下</w:t>
      </w:r>
      <w:r>
        <w:rPr>
          <w:rFonts w:hint="eastAsia" w:ascii="仿宋" w:hAnsi="仿宋" w:eastAsia="仿宋" w:cs="仿宋"/>
          <w:sz w:val="32"/>
          <w:szCs w:val="32"/>
          <w:lang w:eastAsia="zh-CN"/>
        </w:rPr>
        <w:t>核算</w:t>
      </w:r>
      <w:r>
        <w:rPr>
          <w:rFonts w:hint="eastAsia" w:ascii="仿宋" w:hAnsi="仿宋" w:eastAsia="仿宋" w:cs="仿宋"/>
          <w:sz w:val="32"/>
          <w:szCs w:val="32"/>
        </w:rPr>
        <w:t>，是指交易所允许达成交收的双方协商一致</w:t>
      </w:r>
      <w:r>
        <w:rPr>
          <w:rFonts w:hint="eastAsia" w:ascii="仿宋" w:hAnsi="仿宋" w:eastAsia="仿宋" w:cs="仿宋"/>
          <w:sz w:val="32"/>
          <w:szCs w:val="32"/>
          <w:lang w:val="en-US" w:eastAsia="zh-CN"/>
        </w:rPr>
        <w:t>后</w:t>
      </w:r>
      <w:r>
        <w:rPr>
          <w:rFonts w:hint="eastAsia" w:ascii="仿宋" w:hAnsi="仿宋" w:eastAsia="仿宋" w:cs="仿宋"/>
          <w:sz w:val="32"/>
          <w:szCs w:val="32"/>
        </w:rPr>
        <w:t>，对交收资金进行线下</w:t>
      </w:r>
      <w:r>
        <w:rPr>
          <w:rFonts w:hint="eastAsia" w:ascii="仿宋" w:hAnsi="仿宋" w:eastAsia="仿宋" w:cs="仿宋"/>
          <w:sz w:val="32"/>
          <w:szCs w:val="32"/>
          <w:lang w:eastAsia="zh-CN"/>
        </w:rPr>
        <w:t>核算</w:t>
      </w:r>
      <w:r>
        <w:rPr>
          <w:rFonts w:hint="eastAsia" w:ascii="仿宋" w:hAnsi="仿宋" w:eastAsia="仿宋" w:cs="仿宋"/>
          <w:sz w:val="32"/>
          <w:szCs w:val="32"/>
        </w:rPr>
        <w:t>。若交收双方选择线下</w:t>
      </w:r>
      <w:r>
        <w:rPr>
          <w:rFonts w:hint="eastAsia" w:ascii="仿宋" w:hAnsi="仿宋" w:eastAsia="仿宋" w:cs="仿宋"/>
          <w:sz w:val="32"/>
          <w:szCs w:val="32"/>
          <w:lang w:eastAsia="zh-CN"/>
        </w:rPr>
        <w:t>核算</w:t>
      </w:r>
      <w:r>
        <w:rPr>
          <w:rFonts w:hint="eastAsia" w:ascii="仿宋" w:hAnsi="仿宋" w:eastAsia="仿宋" w:cs="仿宋"/>
          <w:sz w:val="32"/>
          <w:szCs w:val="32"/>
        </w:rPr>
        <w:t>，交易所不再监管此次</w:t>
      </w:r>
      <w:r>
        <w:rPr>
          <w:rFonts w:hint="eastAsia" w:ascii="仿宋" w:hAnsi="仿宋" w:eastAsia="仿宋" w:cs="仿宋"/>
          <w:sz w:val="32"/>
          <w:szCs w:val="32"/>
          <w:lang w:eastAsia="zh-CN"/>
        </w:rPr>
        <w:t>核算</w:t>
      </w:r>
      <w:r>
        <w:rPr>
          <w:rFonts w:hint="eastAsia" w:ascii="仿宋" w:hAnsi="仿宋" w:eastAsia="仿宋" w:cs="仿宋"/>
          <w:sz w:val="32"/>
          <w:szCs w:val="32"/>
        </w:rPr>
        <w:t>流程，双方</w:t>
      </w:r>
      <w:r>
        <w:rPr>
          <w:rFonts w:hint="eastAsia" w:ascii="仿宋" w:hAnsi="仿宋" w:eastAsia="仿宋" w:cs="仿宋"/>
          <w:sz w:val="32"/>
          <w:szCs w:val="32"/>
          <w:lang w:val="en-US" w:eastAsia="zh-CN"/>
        </w:rPr>
        <w:t>因此</w:t>
      </w:r>
      <w:r>
        <w:rPr>
          <w:rFonts w:hint="eastAsia" w:ascii="仿宋" w:hAnsi="仿宋" w:eastAsia="仿宋" w:cs="仿宋"/>
          <w:sz w:val="32"/>
          <w:szCs w:val="32"/>
        </w:rPr>
        <w:t>产生</w:t>
      </w:r>
      <w:r>
        <w:rPr>
          <w:rFonts w:hint="eastAsia" w:ascii="仿宋" w:hAnsi="仿宋" w:eastAsia="仿宋" w:cs="仿宋"/>
          <w:sz w:val="32"/>
          <w:szCs w:val="32"/>
          <w:lang w:val="en-US" w:eastAsia="zh-CN"/>
        </w:rPr>
        <w:t>的</w:t>
      </w:r>
      <w:r>
        <w:rPr>
          <w:rFonts w:hint="eastAsia" w:ascii="仿宋" w:hAnsi="仿宋" w:eastAsia="仿宋" w:cs="仿宋"/>
          <w:sz w:val="32"/>
          <w:szCs w:val="32"/>
        </w:rPr>
        <w:t>纠纷</w:t>
      </w:r>
      <w:r>
        <w:rPr>
          <w:rFonts w:hint="eastAsia" w:ascii="仿宋" w:hAnsi="仿宋" w:eastAsia="仿宋" w:cs="仿宋"/>
          <w:sz w:val="32"/>
          <w:szCs w:val="32"/>
          <w:lang w:eastAsia="zh-CN"/>
        </w:rPr>
        <w:t>，</w:t>
      </w:r>
      <w:r>
        <w:rPr>
          <w:rFonts w:hint="eastAsia" w:ascii="仿宋" w:hAnsi="仿宋" w:eastAsia="仿宋" w:cs="仿宋"/>
          <w:sz w:val="32"/>
          <w:szCs w:val="32"/>
        </w:rPr>
        <w:t>由双方自行解决。</w:t>
      </w:r>
    </w:p>
    <w:p w14:paraId="15ED813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rPr>
      </w:pPr>
    </w:p>
    <w:p w14:paraId="53184C38">
      <w:pPr>
        <w:numPr>
          <w:ilvl w:val="0"/>
          <w:numId w:val="2"/>
        </w:numPr>
        <w:jc w:val="center"/>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14" w:name="_Toc31169"/>
      <w:r>
        <w:rPr>
          <w:rFonts w:hint="eastAsia" w:ascii="黑体" w:hAnsi="黑体" w:eastAsia="黑体" w:cs="黑体"/>
          <w:sz w:val="32"/>
          <w:szCs w:val="32"/>
          <w:lang w:eastAsia="zh-CN"/>
        </w:rPr>
        <w:t>核算</w:t>
      </w:r>
      <w:r>
        <w:rPr>
          <w:rFonts w:hint="eastAsia" w:ascii="黑体" w:hAnsi="黑体" w:eastAsia="黑体" w:cs="黑体"/>
          <w:sz w:val="32"/>
          <w:szCs w:val="32"/>
        </w:rPr>
        <w:t>内容</w:t>
      </w:r>
      <w:bookmarkEnd w:id="14"/>
    </w:p>
    <w:p w14:paraId="18E113F7">
      <w:pPr>
        <w:jc w:val="both"/>
      </w:pPr>
    </w:p>
    <w:p w14:paraId="3C65732B">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rPr>
      </w:pPr>
      <w:bookmarkStart w:id="15" w:name="_Toc5972"/>
      <w:r>
        <w:rPr>
          <w:rFonts w:hint="eastAsia" w:ascii="楷体" w:hAnsi="楷体" w:eastAsia="楷体" w:cs="楷体"/>
          <w:b/>
          <w:bCs/>
          <w:snapToGrid w:val="0"/>
          <w:color w:val="000000"/>
          <w:kern w:val="0"/>
          <w:sz w:val="32"/>
          <w:szCs w:val="32"/>
          <w:lang w:val="en-US" w:eastAsia="en-US" w:bidi="ar-SA"/>
        </w:rPr>
        <w:t>第十八条</w:t>
      </w:r>
      <w:r>
        <w:rPr>
          <w:rFonts w:hint="eastAsia" w:ascii="仿宋" w:hAnsi="仿宋" w:eastAsia="仿宋" w:cs="仿宋"/>
          <w:sz w:val="32"/>
          <w:szCs w:val="32"/>
        </w:rPr>
        <w:t xml:space="preserve">  开设</w:t>
      </w:r>
      <w:r>
        <w:rPr>
          <w:rFonts w:hint="eastAsia" w:ascii="仿宋" w:hAnsi="仿宋" w:eastAsia="仿宋" w:cs="仿宋"/>
          <w:sz w:val="32"/>
          <w:szCs w:val="32"/>
          <w:lang w:eastAsia="zh-CN"/>
        </w:rPr>
        <w:t>核算</w:t>
      </w:r>
      <w:r>
        <w:rPr>
          <w:rFonts w:hint="eastAsia" w:ascii="仿宋" w:hAnsi="仿宋" w:eastAsia="仿宋" w:cs="仿宋"/>
          <w:sz w:val="32"/>
          <w:szCs w:val="32"/>
        </w:rPr>
        <w:t>账户，</w:t>
      </w:r>
      <w:bookmarkEnd w:id="15"/>
    </w:p>
    <w:p w14:paraId="29CC49B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交易所在</w:t>
      </w:r>
      <w:r>
        <w:rPr>
          <w:rFonts w:hint="eastAsia" w:ascii="仿宋" w:hAnsi="仿宋" w:eastAsia="仿宋" w:cs="仿宋"/>
          <w:sz w:val="32"/>
          <w:szCs w:val="32"/>
          <w:lang w:eastAsia="zh-CN"/>
        </w:rPr>
        <w:t>合作银行</w:t>
      </w:r>
      <w:r>
        <w:rPr>
          <w:rFonts w:hint="eastAsia" w:ascii="仿宋" w:hAnsi="仿宋" w:eastAsia="仿宋" w:cs="仿宋"/>
          <w:sz w:val="32"/>
          <w:szCs w:val="32"/>
        </w:rPr>
        <w:t>开设专用的</w:t>
      </w:r>
      <w:r>
        <w:rPr>
          <w:rFonts w:hint="eastAsia" w:ascii="仿宋" w:hAnsi="仿宋" w:eastAsia="仿宋" w:cs="仿宋"/>
          <w:sz w:val="32"/>
          <w:szCs w:val="32"/>
          <w:lang w:eastAsia="zh-CN"/>
        </w:rPr>
        <w:t>核算</w:t>
      </w:r>
      <w:r>
        <w:rPr>
          <w:rFonts w:hint="eastAsia" w:ascii="仿宋" w:hAnsi="仿宋" w:eastAsia="仿宋" w:cs="仿宋"/>
          <w:sz w:val="32"/>
          <w:szCs w:val="32"/>
        </w:rPr>
        <w:t>账户，用于</w:t>
      </w:r>
      <w:r>
        <w:rPr>
          <w:rFonts w:hint="eastAsia" w:ascii="仿宋" w:hAnsi="仿宋" w:eastAsia="仿宋" w:cs="仿宋"/>
          <w:sz w:val="32"/>
          <w:szCs w:val="32"/>
          <w:lang w:val="en-US" w:eastAsia="zh-CN"/>
        </w:rPr>
        <w:t>交易所自身业务及相关款项</w:t>
      </w:r>
      <w:r>
        <w:rPr>
          <w:rFonts w:hint="eastAsia" w:ascii="仿宋" w:hAnsi="仿宋" w:eastAsia="仿宋" w:cs="仿宋"/>
          <w:sz w:val="32"/>
          <w:szCs w:val="32"/>
        </w:rPr>
        <w:t>。</w:t>
      </w:r>
    </w:p>
    <w:p w14:paraId="207F0A8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rPr>
      </w:pPr>
      <w:bookmarkStart w:id="16" w:name="_Toc7648"/>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市场参与企业</w:t>
      </w:r>
      <w:r>
        <w:rPr>
          <w:rFonts w:hint="eastAsia" w:ascii="仿宋" w:hAnsi="仿宋" w:eastAsia="仿宋" w:cs="仿宋"/>
          <w:sz w:val="32"/>
          <w:szCs w:val="32"/>
        </w:rPr>
        <w:t>须在</w:t>
      </w:r>
      <w:r>
        <w:rPr>
          <w:rFonts w:hint="eastAsia" w:ascii="仿宋" w:hAnsi="仿宋" w:eastAsia="仿宋" w:cs="仿宋"/>
          <w:sz w:val="32"/>
          <w:szCs w:val="32"/>
          <w:lang w:val="en-US" w:eastAsia="zh-CN"/>
        </w:rPr>
        <w:t>合作银行</w:t>
      </w:r>
      <w:r>
        <w:rPr>
          <w:rFonts w:hint="eastAsia" w:ascii="仿宋" w:hAnsi="仿宋" w:eastAsia="仿宋" w:cs="仿宋"/>
          <w:sz w:val="32"/>
          <w:szCs w:val="32"/>
        </w:rPr>
        <w:t>开设专用资金账户</w:t>
      </w:r>
      <w:r>
        <w:rPr>
          <w:rFonts w:hint="eastAsia" w:ascii="仿宋" w:hAnsi="仿宋" w:eastAsia="仿宋" w:cs="仿宋"/>
          <w:sz w:val="32"/>
          <w:szCs w:val="32"/>
          <w:lang w:eastAsia="zh-CN"/>
        </w:rPr>
        <w:t>。</w:t>
      </w:r>
      <w:bookmarkEnd w:id="16"/>
    </w:p>
    <w:p w14:paraId="5CC41A4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市场参与企业</w:t>
      </w:r>
      <w:r>
        <w:rPr>
          <w:rFonts w:hint="eastAsia" w:ascii="仿宋" w:hAnsi="仿宋" w:eastAsia="仿宋" w:cs="仿宋"/>
          <w:sz w:val="32"/>
          <w:szCs w:val="32"/>
        </w:rPr>
        <w:t>的交易、交收及其他业务资金的往来应通过</w:t>
      </w:r>
      <w:r>
        <w:rPr>
          <w:rFonts w:hint="eastAsia" w:ascii="仿宋" w:hAnsi="仿宋" w:eastAsia="仿宋" w:cs="仿宋"/>
          <w:sz w:val="32"/>
          <w:szCs w:val="32"/>
          <w:lang w:eastAsia="zh-CN"/>
        </w:rPr>
        <w:t>市场参与企业</w:t>
      </w:r>
      <w:r>
        <w:rPr>
          <w:rFonts w:hint="eastAsia" w:ascii="仿宋" w:hAnsi="仿宋" w:eastAsia="仿宋" w:cs="仿宋"/>
          <w:sz w:val="32"/>
          <w:szCs w:val="32"/>
        </w:rPr>
        <w:t>专用资金账户办理。</w:t>
      </w:r>
    </w:p>
    <w:p w14:paraId="4A52E6B0">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开立、更名、更换或注销专用资金账户，须按</w:t>
      </w:r>
      <w:r>
        <w:rPr>
          <w:rFonts w:hint="eastAsia" w:ascii="仿宋" w:hAnsi="仿宋" w:eastAsia="仿宋" w:cs="仿宋"/>
          <w:sz w:val="32"/>
          <w:szCs w:val="32"/>
          <w:lang w:eastAsia="zh-CN"/>
        </w:rPr>
        <w:t>合作银行</w:t>
      </w:r>
      <w:r>
        <w:rPr>
          <w:rFonts w:hint="eastAsia" w:ascii="仿宋" w:hAnsi="仿宋" w:eastAsia="仿宋" w:cs="仿宋"/>
          <w:sz w:val="32"/>
          <w:szCs w:val="32"/>
        </w:rPr>
        <w:t>指定方式办理。</w:t>
      </w:r>
    </w:p>
    <w:p w14:paraId="1207E56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rPr>
      </w:pPr>
      <w:bookmarkStart w:id="17" w:name="_Toc3104"/>
      <w:r>
        <w:rPr>
          <w:rFonts w:hint="eastAsia" w:ascii="楷体" w:hAnsi="楷体" w:eastAsia="楷体" w:cs="楷体"/>
          <w:b/>
          <w:bCs/>
          <w:snapToGrid w:val="0"/>
          <w:color w:val="000000"/>
          <w:kern w:val="0"/>
          <w:sz w:val="32"/>
          <w:szCs w:val="32"/>
          <w:lang w:val="en-US" w:eastAsia="en-US" w:bidi="ar-SA"/>
        </w:rPr>
        <w:t>第十九条</w:t>
      </w:r>
      <w:r>
        <w:rPr>
          <w:rFonts w:hint="eastAsia" w:ascii="仿宋" w:hAnsi="仿宋" w:eastAsia="仿宋" w:cs="仿宋"/>
          <w:sz w:val="32"/>
          <w:szCs w:val="32"/>
        </w:rPr>
        <w:t xml:space="preserve">  业务资金</w:t>
      </w:r>
      <w:r>
        <w:rPr>
          <w:rFonts w:hint="eastAsia" w:ascii="仿宋" w:hAnsi="仿宋" w:eastAsia="仿宋" w:cs="仿宋"/>
          <w:sz w:val="32"/>
          <w:szCs w:val="32"/>
          <w:lang w:eastAsia="zh-CN"/>
        </w:rPr>
        <w:t>核算</w:t>
      </w:r>
      <w:r>
        <w:rPr>
          <w:rFonts w:hint="eastAsia" w:ascii="仿宋" w:hAnsi="仿宋" w:eastAsia="仿宋" w:cs="仿宋"/>
          <w:sz w:val="32"/>
          <w:szCs w:val="32"/>
        </w:rPr>
        <w:t>，</w:t>
      </w:r>
      <w:bookmarkEnd w:id="17"/>
    </w:p>
    <w:p w14:paraId="631EAD83">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根据各业务模式不同交易所对</w:t>
      </w:r>
      <w:r>
        <w:rPr>
          <w:rFonts w:hint="eastAsia" w:ascii="仿宋" w:hAnsi="仿宋" w:eastAsia="仿宋" w:cs="仿宋"/>
          <w:sz w:val="32"/>
          <w:szCs w:val="32"/>
          <w:lang w:eastAsia="zh-CN"/>
        </w:rPr>
        <w:t>市场参与企业</w:t>
      </w:r>
      <w:r>
        <w:rPr>
          <w:rFonts w:hint="eastAsia" w:ascii="仿宋" w:hAnsi="仿宋" w:eastAsia="仿宋" w:cs="仿宋"/>
          <w:sz w:val="32"/>
          <w:szCs w:val="32"/>
        </w:rPr>
        <w:t>交易、交收及其他业务相关资金进行</w:t>
      </w:r>
      <w:r>
        <w:rPr>
          <w:rFonts w:hint="eastAsia" w:ascii="仿宋" w:hAnsi="仿宋" w:eastAsia="仿宋" w:cs="仿宋"/>
          <w:sz w:val="32"/>
          <w:szCs w:val="32"/>
          <w:lang w:eastAsia="zh-CN"/>
        </w:rPr>
        <w:t>核算</w:t>
      </w:r>
      <w:r>
        <w:rPr>
          <w:rFonts w:hint="eastAsia" w:ascii="仿宋" w:hAnsi="仿宋" w:eastAsia="仿宋" w:cs="仿宋"/>
          <w:sz w:val="32"/>
          <w:szCs w:val="32"/>
        </w:rPr>
        <w:t>；</w:t>
      </w:r>
    </w:p>
    <w:p w14:paraId="153FDB4D">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2. 交易所在每个交易日结束后，将</w:t>
      </w:r>
      <w:r>
        <w:rPr>
          <w:rFonts w:hint="eastAsia" w:ascii="仿宋" w:hAnsi="仿宋" w:eastAsia="仿宋" w:cs="仿宋"/>
          <w:sz w:val="32"/>
          <w:szCs w:val="32"/>
          <w:lang w:eastAsia="zh-CN"/>
        </w:rPr>
        <w:t>市场参与企业</w:t>
      </w:r>
      <w:r>
        <w:rPr>
          <w:rFonts w:hint="eastAsia" w:ascii="仿宋" w:hAnsi="仿宋" w:eastAsia="仿宋" w:cs="仿宋"/>
          <w:sz w:val="32"/>
          <w:szCs w:val="32"/>
        </w:rPr>
        <w:t>资金的划转数据传递给</w:t>
      </w:r>
      <w:r>
        <w:rPr>
          <w:rFonts w:hint="eastAsia" w:ascii="仿宋" w:hAnsi="仿宋" w:eastAsia="仿宋" w:cs="仿宋"/>
          <w:sz w:val="32"/>
          <w:szCs w:val="32"/>
          <w:lang w:eastAsia="zh-CN"/>
        </w:rPr>
        <w:t>合作银行</w:t>
      </w:r>
      <w:r>
        <w:rPr>
          <w:rFonts w:hint="eastAsia" w:ascii="仿宋" w:hAnsi="仿宋" w:eastAsia="仿宋" w:cs="仿宋"/>
          <w:sz w:val="32"/>
          <w:szCs w:val="32"/>
        </w:rPr>
        <w:t>。</w:t>
      </w:r>
      <w:r>
        <w:rPr>
          <w:rFonts w:hint="eastAsia" w:ascii="仿宋" w:hAnsi="仿宋" w:eastAsia="仿宋" w:cs="仿宋"/>
          <w:sz w:val="32"/>
          <w:szCs w:val="32"/>
          <w:lang w:eastAsia="zh-CN"/>
        </w:rPr>
        <w:t>合作银行</w:t>
      </w:r>
      <w:r>
        <w:rPr>
          <w:rFonts w:hint="eastAsia" w:ascii="仿宋" w:hAnsi="仿宋" w:eastAsia="仿宋" w:cs="仿宋"/>
          <w:sz w:val="32"/>
          <w:szCs w:val="32"/>
        </w:rPr>
        <w:t>应当及时将划账结果反馈给交易所。</w:t>
      </w:r>
    </w:p>
    <w:p w14:paraId="2ADDBA65">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1"/>
        <w:rPr>
          <w:rFonts w:hint="eastAsia" w:ascii="仿宋" w:hAnsi="仿宋" w:eastAsia="仿宋" w:cs="仿宋"/>
          <w:sz w:val="32"/>
          <w:szCs w:val="32"/>
          <w:lang w:eastAsia="zh-CN"/>
        </w:rPr>
      </w:pPr>
      <w:bookmarkStart w:id="18" w:name="_Toc7333"/>
      <w:r>
        <w:rPr>
          <w:rFonts w:hint="eastAsia" w:ascii="楷体" w:hAnsi="楷体" w:eastAsia="楷体" w:cs="楷体"/>
          <w:b/>
          <w:bCs/>
          <w:snapToGrid w:val="0"/>
          <w:color w:val="000000"/>
          <w:kern w:val="0"/>
          <w:sz w:val="32"/>
          <w:szCs w:val="32"/>
          <w:lang w:val="en-US" w:eastAsia="en-US" w:bidi="ar-SA"/>
        </w:rPr>
        <w:t>第二十条</w:t>
      </w:r>
      <w:r>
        <w:rPr>
          <w:rFonts w:hint="eastAsia" w:ascii="仿宋" w:hAnsi="仿宋" w:eastAsia="仿宋" w:cs="仿宋"/>
          <w:sz w:val="32"/>
          <w:szCs w:val="32"/>
        </w:rPr>
        <w:t xml:space="preserve"> 交易费用</w:t>
      </w:r>
      <w:r>
        <w:rPr>
          <w:rFonts w:hint="eastAsia" w:ascii="仿宋" w:hAnsi="仿宋" w:eastAsia="仿宋" w:cs="仿宋"/>
          <w:sz w:val="32"/>
          <w:szCs w:val="32"/>
          <w:lang w:eastAsia="zh-CN"/>
        </w:rPr>
        <w:t>核算</w:t>
      </w:r>
      <w:bookmarkEnd w:id="18"/>
    </w:p>
    <w:p w14:paraId="77FB3B6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 xml:space="preserve">1. </w:t>
      </w:r>
      <w:r>
        <w:rPr>
          <w:rFonts w:hint="eastAsia" w:ascii="仿宋" w:hAnsi="仿宋" w:eastAsia="仿宋" w:cs="仿宋"/>
          <w:sz w:val="32"/>
          <w:szCs w:val="32"/>
          <w:lang w:eastAsia="zh-CN"/>
        </w:rPr>
        <w:t>市场参与企业</w:t>
      </w:r>
      <w:r>
        <w:rPr>
          <w:rFonts w:hint="eastAsia" w:ascii="仿宋" w:hAnsi="仿宋" w:eastAsia="仿宋" w:cs="仿宋"/>
          <w:sz w:val="32"/>
          <w:szCs w:val="32"/>
        </w:rPr>
        <w:t>应通过</w:t>
      </w:r>
      <w:r>
        <w:rPr>
          <w:rFonts w:hint="eastAsia" w:ascii="仿宋" w:hAnsi="仿宋" w:eastAsia="仿宋" w:cs="仿宋"/>
          <w:sz w:val="32"/>
          <w:szCs w:val="32"/>
          <w:lang w:eastAsia="zh-CN"/>
        </w:rPr>
        <w:t>核算</w:t>
      </w:r>
      <w:r>
        <w:rPr>
          <w:rFonts w:hint="eastAsia" w:ascii="仿宋" w:hAnsi="仿宋" w:eastAsia="仿宋" w:cs="仿宋"/>
          <w:sz w:val="32"/>
          <w:szCs w:val="32"/>
        </w:rPr>
        <w:t>账户就</w:t>
      </w:r>
      <w:r>
        <w:rPr>
          <w:rFonts w:hint="eastAsia" w:ascii="仿宋" w:hAnsi="仿宋" w:eastAsia="仿宋" w:cs="仿宋"/>
          <w:sz w:val="32"/>
          <w:szCs w:val="32"/>
          <w:lang w:val="en-US" w:eastAsia="zh-CN"/>
        </w:rPr>
        <w:t>其</w:t>
      </w:r>
      <w:r>
        <w:rPr>
          <w:rFonts w:hint="eastAsia" w:ascii="仿宋" w:hAnsi="仿宋" w:eastAsia="仿宋" w:cs="仿宋"/>
          <w:sz w:val="32"/>
          <w:szCs w:val="32"/>
        </w:rPr>
        <w:t>在交易</w:t>
      </w:r>
      <w:r>
        <w:rPr>
          <w:rFonts w:hint="eastAsia" w:ascii="仿宋" w:hAnsi="仿宋" w:eastAsia="仿宋" w:cs="仿宋"/>
          <w:sz w:val="32"/>
          <w:szCs w:val="32"/>
          <w:lang w:val="en-US" w:eastAsia="zh-CN"/>
        </w:rPr>
        <w:t>所</w:t>
      </w:r>
      <w:r>
        <w:rPr>
          <w:rFonts w:hint="eastAsia" w:ascii="仿宋" w:hAnsi="仿宋" w:eastAsia="仿宋" w:cs="仿宋"/>
          <w:sz w:val="32"/>
          <w:szCs w:val="32"/>
        </w:rPr>
        <w:t>开展的各项业务活动向交易所或其他</w:t>
      </w:r>
      <w:r>
        <w:rPr>
          <w:rFonts w:hint="eastAsia" w:ascii="仿宋" w:hAnsi="仿宋" w:eastAsia="仿宋" w:cs="仿宋"/>
          <w:sz w:val="32"/>
          <w:szCs w:val="32"/>
          <w:lang w:eastAsia="zh-CN"/>
        </w:rPr>
        <w:t>市场参与企业</w:t>
      </w:r>
      <w:r>
        <w:rPr>
          <w:rFonts w:hint="eastAsia" w:ascii="仿宋" w:hAnsi="仿宋" w:eastAsia="仿宋" w:cs="仿宋"/>
          <w:sz w:val="32"/>
          <w:szCs w:val="32"/>
        </w:rPr>
        <w:t>收取或支付相关费用。具体费用项目与标准参照交易所各产品的《业务参数表》、入市时签订的《业务开通申请表》以及其他公示文件等</w:t>
      </w:r>
      <w:r>
        <w:rPr>
          <w:rFonts w:hint="eastAsia" w:ascii="仿宋" w:hAnsi="仿宋" w:eastAsia="仿宋" w:cs="仿宋"/>
          <w:sz w:val="32"/>
          <w:szCs w:val="32"/>
          <w:lang w:eastAsia="zh-CN"/>
        </w:rPr>
        <w:t>；</w:t>
      </w:r>
    </w:p>
    <w:p w14:paraId="56D0C33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2. 交易所有权根据实际情况对相关收费项目和收费标准进行调整；</w:t>
      </w:r>
    </w:p>
    <w:p w14:paraId="5D0BBAE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rPr>
      </w:pPr>
      <w:bookmarkStart w:id="19" w:name="_Toc30325"/>
      <w:r>
        <w:rPr>
          <w:rFonts w:hint="eastAsia" w:ascii="仿宋" w:hAnsi="仿宋" w:eastAsia="仿宋" w:cs="仿宋"/>
          <w:sz w:val="32"/>
          <w:szCs w:val="32"/>
        </w:rPr>
        <w:t>3. 交易所与</w:t>
      </w:r>
      <w:r>
        <w:rPr>
          <w:rFonts w:hint="eastAsia" w:ascii="仿宋" w:hAnsi="仿宋" w:eastAsia="仿宋" w:cs="仿宋"/>
          <w:sz w:val="32"/>
          <w:szCs w:val="32"/>
          <w:lang w:eastAsia="zh-CN"/>
        </w:rPr>
        <w:t>市场参与企业</w:t>
      </w:r>
      <w:r>
        <w:rPr>
          <w:rFonts w:hint="eastAsia" w:ascii="仿宋" w:hAnsi="仿宋" w:eastAsia="仿宋" w:cs="仿宋"/>
          <w:sz w:val="32"/>
          <w:szCs w:val="32"/>
        </w:rPr>
        <w:t>签订的协议另有约定的，以协议为准。</w:t>
      </w:r>
      <w:bookmarkEnd w:id="19"/>
    </w:p>
    <w:p w14:paraId="7C77B44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1"/>
        <w:rPr>
          <w:rFonts w:hint="eastAsia" w:ascii="仿宋" w:hAnsi="仿宋" w:eastAsia="仿宋" w:cs="仿宋"/>
          <w:sz w:val="32"/>
          <w:szCs w:val="32"/>
        </w:rPr>
      </w:pPr>
      <w:bookmarkStart w:id="20" w:name="_Toc12120"/>
      <w:r>
        <w:rPr>
          <w:rFonts w:hint="eastAsia" w:ascii="楷体" w:hAnsi="楷体" w:eastAsia="楷体" w:cs="楷体"/>
          <w:b/>
          <w:bCs/>
          <w:snapToGrid w:val="0"/>
          <w:color w:val="000000"/>
          <w:kern w:val="0"/>
          <w:sz w:val="32"/>
          <w:szCs w:val="32"/>
          <w:lang w:val="en-US" w:eastAsia="en-US" w:bidi="ar-SA"/>
        </w:rPr>
        <w:t>第二十一条</w:t>
      </w:r>
      <w:r>
        <w:rPr>
          <w:rFonts w:hint="eastAsia" w:ascii="仿宋" w:hAnsi="仿宋" w:eastAsia="仿宋" w:cs="仿宋"/>
          <w:sz w:val="32"/>
          <w:szCs w:val="32"/>
        </w:rPr>
        <w:t xml:space="preserve">  出入金的方式，</w:t>
      </w:r>
      <w:bookmarkEnd w:id="20"/>
    </w:p>
    <w:p w14:paraId="678801A3">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rPr>
      </w:pPr>
      <w:bookmarkStart w:id="21" w:name="_Toc14442"/>
      <w:r>
        <w:rPr>
          <w:rFonts w:hint="eastAsia" w:ascii="仿宋" w:hAnsi="仿宋" w:eastAsia="仿宋" w:cs="仿宋"/>
          <w:sz w:val="32"/>
          <w:szCs w:val="32"/>
        </w:rPr>
        <w:t xml:space="preserve">1. </w:t>
      </w:r>
      <w:r>
        <w:rPr>
          <w:rFonts w:hint="eastAsia" w:ascii="仿宋" w:hAnsi="仿宋" w:eastAsia="仿宋" w:cs="仿宋"/>
          <w:sz w:val="32"/>
          <w:szCs w:val="32"/>
          <w:lang w:eastAsia="zh-CN"/>
        </w:rPr>
        <w:t>市场参与企业</w:t>
      </w:r>
      <w:r>
        <w:rPr>
          <w:rFonts w:hint="eastAsia" w:ascii="仿宋" w:hAnsi="仿宋" w:eastAsia="仿宋" w:cs="仿宋"/>
          <w:sz w:val="32"/>
          <w:szCs w:val="32"/>
        </w:rPr>
        <w:t>应当</w:t>
      </w:r>
      <w:r>
        <w:rPr>
          <w:rFonts w:hint="eastAsia" w:ascii="仿宋" w:hAnsi="仿宋" w:eastAsia="仿宋" w:cs="仿宋"/>
          <w:sz w:val="32"/>
          <w:szCs w:val="32"/>
          <w:lang w:val="en-US" w:eastAsia="zh-CN"/>
        </w:rPr>
        <w:t>按照</w:t>
      </w:r>
      <w:r>
        <w:rPr>
          <w:rFonts w:hint="eastAsia" w:ascii="仿宋" w:hAnsi="仿宋" w:eastAsia="仿宋" w:cs="仿宋"/>
          <w:sz w:val="32"/>
          <w:szCs w:val="32"/>
        </w:rPr>
        <w:t>交易所规定的方式提交出入金申请；</w:t>
      </w:r>
      <w:bookmarkEnd w:id="21"/>
    </w:p>
    <w:p w14:paraId="4A4C2C7F">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lang w:eastAsia="zh-CN"/>
        </w:rPr>
        <w:t>市场参与企业</w:t>
      </w:r>
      <w:r>
        <w:rPr>
          <w:rFonts w:hint="eastAsia" w:ascii="仿宋" w:hAnsi="仿宋" w:eastAsia="仿宋" w:cs="仿宋"/>
          <w:sz w:val="32"/>
          <w:szCs w:val="32"/>
        </w:rPr>
        <w:t>出金应当符合交易所规定，</w:t>
      </w:r>
      <w:r>
        <w:rPr>
          <w:rFonts w:hint="eastAsia" w:ascii="仿宋" w:hAnsi="仿宋" w:eastAsia="仿宋" w:cs="仿宋"/>
          <w:sz w:val="32"/>
          <w:szCs w:val="32"/>
          <w:lang w:eastAsia="zh-CN"/>
        </w:rPr>
        <w:t>市场参与企业</w:t>
      </w:r>
      <w:r>
        <w:rPr>
          <w:rFonts w:hint="eastAsia" w:ascii="仿宋" w:hAnsi="仿宋" w:eastAsia="仿宋" w:cs="仿宋"/>
          <w:sz w:val="32"/>
          <w:szCs w:val="32"/>
        </w:rPr>
        <w:t>须在交易所与各合作银行转账系统签到时间段内办理出、入金业务，其他时间不允许办理，各银行系统签到时间以交易所公示为准；</w:t>
      </w:r>
    </w:p>
    <w:p w14:paraId="00E8CFF1">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3. </w:t>
      </w:r>
      <w:r>
        <w:rPr>
          <w:rFonts w:hint="eastAsia" w:ascii="仿宋" w:hAnsi="仿宋" w:eastAsia="仿宋" w:cs="仿宋"/>
          <w:sz w:val="32"/>
          <w:szCs w:val="32"/>
          <w:lang w:eastAsia="zh-CN"/>
        </w:rPr>
        <w:t>市场参与企业</w:t>
      </w:r>
      <w:r>
        <w:rPr>
          <w:rFonts w:hint="eastAsia" w:ascii="仿宋" w:hAnsi="仿宋" w:eastAsia="仿宋" w:cs="仿宋"/>
          <w:sz w:val="32"/>
          <w:szCs w:val="32"/>
        </w:rPr>
        <w:t>必须通过交易所与各合作银行指定的资金转账系统办理出入金业务，不允许通过其他方式办理。如</w:t>
      </w:r>
      <w:r>
        <w:rPr>
          <w:rFonts w:hint="eastAsia" w:ascii="仿宋" w:hAnsi="仿宋" w:eastAsia="仿宋" w:cs="仿宋"/>
          <w:sz w:val="32"/>
          <w:szCs w:val="32"/>
          <w:lang w:val="en-US" w:eastAsia="zh-CN"/>
        </w:rPr>
        <w:t>资金</w:t>
      </w:r>
      <w:r>
        <w:rPr>
          <w:rFonts w:hint="eastAsia" w:ascii="仿宋" w:hAnsi="仿宋" w:eastAsia="仿宋" w:cs="仿宋"/>
          <w:sz w:val="32"/>
          <w:szCs w:val="32"/>
        </w:rPr>
        <w:t>未通过指定的资金转账系统</w:t>
      </w:r>
      <w:r>
        <w:rPr>
          <w:rFonts w:hint="eastAsia" w:ascii="仿宋" w:hAnsi="仿宋" w:eastAsia="仿宋" w:cs="仿宋"/>
          <w:sz w:val="32"/>
          <w:szCs w:val="32"/>
          <w:lang w:val="en-US" w:eastAsia="zh-CN"/>
        </w:rPr>
        <w:t>的</w:t>
      </w:r>
      <w:r>
        <w:rPr>
          <w:rFonts w:hint="eastAsia" w:ascii="仿宋" w:hAnsi="仿宋" w:eastAsia="仿宋" w:cs="仿宋"/>
          <w:sz w:val="32"/>
          <w:szCs w:val="32"/>
        </w:rPr>
        <w:t>入金方式进入</w:t>
      </w:r>
      <w:r>
        <w:rPr>
          <w:rFonts w:hint="eastAsia" w:ascii="仿宋" w:hAnsi="仿宋" w:eastAsia="仿宋" w:cs="仿宋"/>
          <w:sz w:val="32"/>
          <w:szCs w:val="32"/>
          <w:lang w:eastAsia="zh-CN"/>
        </w:rPr>
        <w:t>核算</w:t>
      </w:r>
      <w:r>
        <w:rPr>
          <w:rFonts w:hint="eastAsia" w:ascii="仿宋" w:hAnsi="仿宋" w:eastAsia="仿宋" w:cs="仿宋"/>
          <w:sz w:val="32"/>
          <w:szCs w:val="32"/>
        </w:rPr>
        <w:t>账户的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视</w:t>
      </w:r>
      <w:r>
        <w:rPr>
          <w:rFonts w:hint="eastAsia" w:ascii="仿宋" w:hAnsi="仿宋" w:eastAsia="仿宋" w:cs="仿宋"/>
          <w:sz w:val="32"/>
          <w:szCs w:val="32"/>
        </w:rPr>
        <w:t>为错入资金，错入资金将由各</w:t>
      </w:r>
      <w:r>
        <w:rPr>
          <w:rFonts w:hint="eastAsia" w:ascii="仿宋" w:hAnsi="仿宋" w:eastAsia="仿宋" w:cs="仿宋"/>
          <w:sz w:val="32"/>
          <w:szCs w:val="32"/>
          <w:lang w:eastAsia="zh-CN"/>
        </w:rPr>
        <w:t>合作银行</w:t>
      </w:r>
      <w:r>
        <w:rPr>
          <w:rFonts w:hint="eastAsia" w:ascii="仿宋" w:hAnsi="仿宋" w:eastAsia="仿宋" w:cs="仿宋"/>
          <w:sz w:val="32"/>
          <w:szCs w:val="32"/>
        </w:rPr>
        <w:t>根据交易所的指令处理退还事宜；</w:t>
      </w:r>
    </w:p>
    <w:p w14:paraId="554C01C5">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4. 交易所根据业务发展的需要，有权变更办理出入金业务的时间、方式或流程。</w:t>
      </w:r>
    </w:p>
    <w:p w14:paraId="181F326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outlineLvl w:val="1"/>
        <w:rPr>
          <w:rFonts w:hint="eastAsia" w:ascii="仿宋" w:hAnsi="仿宋" w:eastAsia="仿宋" w:cs="仿宋"/>
          <w:sz w:val="32"/>
          <w:szCs w:val="32"/>
          <w:lang w:eastAsia="zh-CN"/>
        </w:rPr>
      </w:pPr>
      <w:bookmarkStart w:id="22" w:name="_Toc11766"/>
      <w:r>
        <w:rPr>
          <w:rFonts w:hint="eastAsia" w:ascii="楷体" w:hAnsi="楷体" w:eastAsia="楷体" w:cs="楷体"/>
          <w:b/>
          <w:bCs/>
          <w:snapToGrid w:val="0"/>
          <w:color w:val="000000"/>
          <w:kern w:val="0"/>
          <w:sz w:val="32"/>
          <w:szCs w:val="32"/>
          <w:lang w:val="en-US" w:eastAsia="en-US" w:bidi="ar-SA"/>
        </w:rPr>
        <w:t>第二十二条</w:t>
      </w:r>
      <w:r>
        <w:rPr>
          <w:rFonts w:hint="eastAsia" w:ascii="仿宋" w:hAnsi="仿宋" w:eastAsia="仿宋" w:cs="仿宋"/>
          <w:sz w:val="32"/>
          <w:szCs w:val="32"/>
        </w:rPr>
        <w:t xml:space="preserve">  银行对账</w:t>
      </w:r>
      <w:r>
        <w:rPr>
          <w:rFonts w:hint="eastAsia" w:ascii="仿宋" w:hAnsi="仿宋" w:eastAsia="仿宋" w:cs="仿宋"/>
          <w:sz w:val="32"/>
          <w:szCs w:val="32"/>
          <w:lang w:eastAsia="zh-CN"/>
        </w:rPr>
        <w:t>，</w:t>
      </w:r>
      <w:bookmarkEnd w:id="22"/>
    </w:p>
    <w:p w14:paraId="442C68DB">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在每个交易日</w:t>
      </w:r>
      <w:r>
        <w:rPr>
          <w:rFonts w:hint="eastAsia" w:ascii="仿宋" w:hAnsi="仿宋" w:eastAsia="仿宋" w:cs="仿宋"/>
          <w:sz w:val="32"/>
          <w:szCs w:val="32"/>
          <w:lang w:eastAsia="zh-CN"/>
        </w:rPr>
        <w:t>核算</w:t>
      </w:r>
      <w:r>
        <w:rPr>
          <w:rFonts w:hint="eastAsia" w:ascii="仿宋" w:hAnsi="仿宋" w:eastAsia="仿宋" w:cs="仿宋"/>
          <w:sz w:val="32"/>
          <w:szCs w:val="32"/>
        </w:rPr>
        <w:t>处理前，合作银行应按时提供准确对账文件，交易所将交易平台的出入金流水与银行对账文件</w:t>
      </w:r>
      <w:r>
        <w:rPr>
          <w:rFonts w:hint="eastAsia" w:ascii="仿宋" w:hAnsi="仿宋" w:eastAsia="仿宋" w:cs="仿宋"/>
          <w:sz w:val="32"/>
          <w:szCs w:val="32"/>
          <w:lang w:val="en-US" w:eastAsia="zh-CN"/>
        </w:rPr>
        <w:t>进行核对</w:t>
      </w:r>
      <w:r>
        <w:rPr>
          <w:rFonts w:hint="eastAsia" w:ascii="仿宋" w:hAnsi="仿宋" w:eastAsia="仿宋" w:cs="仿宋"/>
          <w:sz w:val="32"/>
          <w:szCs w:val="32"/>
        </w:rPr>
        <w:t>，确</w:t>
      </w:r>
      <w:r>
        <w:rPr>
          <w:rFonts w:hint="eastAsia" w:ascii="仿宋" w:hAnsi="仿宋" w:eastAsia="仿宋" w:cs="仿宋"/>
          <w:sz w:val="32"/>
          <w:szCs w:val="32"/>
          <w:lang w:val="en-US" w:eastAsia="zh-CN"/>
        </w:rPr>
        <w:t>认</w:t>
      </w:r>
      <w:r>
        <w:rPr>
          <w:rFonts w:hint="eastAsia" w:ascii="仿宋" w:hAnsi="仿宋" w:eastAsia="仿宋" w:cs="仿宋"/>
          <w:sz w:val="32"/>
          <w:szCs w:val="32"/>
        </w:rPr>
        <w:t>资金差异并</w:t>
      </w:r>
      <w:r>
        <w:rPr>
          <w:rFonts w:hint="eastAsia" w:ascii="仿宋" w:hAnsi="仿宋" w:eastAsia="仿宋" w:cs="仿宋"/>
          <w:sz w:val="32"/>
          <w:szCs w:val="32"/>
          <w:lang w:val="en-US" w:eastAsia="zh-CN"/>
        </w:rPr>
        <w:t>予以</w:t>
      </w:r>
      <w:r>
        <w:rPr>
          <w:rFonts w:hint="eastAsia" w:ascii="仿宋" w:hAnsi="仿宋" w:eastAsia="仿宋" w:cs="仿宋"/>
          <w:sz w:val="32"/>
          <w:szCs w:val="32"/>
        </w:rPr>
        <w:t>调整；</w:t>
      </w:r>
    </w:p>
    <w:p w14:paraId="054E5245">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2. 合作银行未能按时提供对账文件的，交易所有权以交易平台内的出入金流水先行进行当日</w:t>
      </w:r>
      <w:r>
        <w:rPr>
          <w:rFonts w:hint="eastAsia" w:ascii="仿宋" w:hAnsi="仿宋" w:eastAsia="仿宋" w:cs="仿宋"/>
          <w:sz w:val="32"/>
          <w:szCs w:val="32"/>
          <w:lang w:eastAsia="zh-CN"/>
        </w:rPr>
        <w:t>核算</w:t>
      </w:r>
      <w:r>
        <w:rPr>
          <w:rFonts w:hint="eastAsia" w:ascii="仿宋" w:hAnsi="仿宋" w:eastAsia="仿宋" w:cs="仿宋"/>
          <w:sz w:val="32"/>
          <w:szCs w:val="32"/>
        </w:rPr>
        <w:t>。待合作银行提供对账文件后，如出现资金差异交易所可进行追溯、调整。</w:t>
      </w:r>
    </w:p>
    <w:p w14:paraId="346CE98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3. 交易所根据合作银行对账文件对资金差异进行调整后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由此导致</w:t>
      </w:r>
      <w:r>
        <w:rPr>
          <w:rFonts w:hint="eastAsia" w:ascii="仿宋" w:hAnsi="仿宋" w:eastAsia="仿宋" w:cs="仿宋"/>
          <w:sz w:val="32"/>
          <w:szCs w:val="32"/>
          <w:lang w:eastAsia="zh-CN"/>
        </w:rPr>
        <w:t>市场参与企业</w:t>
      </w:r>
      <w:r>
        <w:rPr>
          <w:rFonts w:hint="eastAsia" w:ascii="仿宋" w:hAnsi="仿宋" w:eastAsia="仿宋" w:cs="仿宋"/>
          <w:sz w:val="32"/>
          <w:szCs w:val="32"/>
          <w:lang w:val="en-US" w:eastAsia="zh-CN"/>
        </w:rPr>
        <w:t>发生</w:t>
      </w:r>
      <w:r>
        <w:rPr>
          <w:rFonts w:hint="eastAsia" w:ascii="仿宋" w:hAnsi="仿宋" w:eastAsia="仿宋" w:cs="仿宋"/>
          <w:sz w:val="32"/>
          <w:szCs w:val="32"/>
        </w:rPr>
        <w:t>资金变动以及被强行了结、交易无效等一切相关风险，交易所不承担任何责任。</w:t>
      </w:r>
    </w:p>
    <w:p w14:paraId="39A84EFA">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1"/>
        <w:rPr>
          <w:rFonts w:hint="eastAsia" w:ascii="仿宋" w:hAnsi="仿宋" w:eastAsia="仿宋" w:cs="仿宋"/>
          <w:sz w:val="32"/>
          <w:szCs w:val="32"/>
        </w:rPr>
      </w:pPr>
      <w:bookmarkStart w:id="23" w:name="_Toc22334"/>
      <w:r>
        <w:rPr>
          <w:rFonts w:hint="eastAsia" w:ascii="楷体" w:hAnsi="楷体" w:eastAsia="楷体" w:cs="楷体"/>
          <w:b/>
          <w:bCs/>
          <w:snapToGrid w:val="0"/>
          <w:color w:val="000000"/>
          <w:kern w:val="0"/>
          <w:sz w:val="32"/>
          <w:szCs w:val="32"/>
          <w:lang w:val="en-US" w:eastAsia="en-US" w:bidi="ar-SA"/>
        </w:rPr>
        <w:t>第二十三条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核算</w:t>
      </w:r>
      <w:r>
        <w:rPr>
          <w:rFonts w:hint="eastAsia" w:ascii="仿宋" w:hAnsi="仿宋" w:eastAsia="仿宋" w:cs="仿宋"/>
          <w:sz w:val="32"/>
          <w:szCs w:val="32"/>
        </w:rPr>
        <w:t>数据：</w:t>
      </w:r>
      <w:bookmarkEnd w:id="23"/>
    </w:p>
    <w:p w14:paraId="400F2B28">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outlineLvl w:val="2"/>
        <w:rPr>
          <w:rFonts w:hint="eastAsia" w:ascii="仿宋" w:hAnsi="仿宋" w:eastAsia="仿宋" w:cs="仿宋"/>
          <w:sz w:val="32"/>
          <w:szCs w:val="32"/>
          <w:lang w:eastAsia="zh-CN"/>
        </w:rPr>
      </w:pPr>
      <w:bookmarkStart w:id="24" w:name="_Toc18705"/>
      <w:r>
        <w:rPr>
          <w:rFonts w:hint="eastAsia" w:ascii="仿宋" w:hAnsi="仿宋" w:eastAsia="仿宋" w:cs="仿宋"/>
          <w:sz w:val="32"/>
          <w:szCs w:val="32"/>
        </w:rPr>
        <w:t xml:space="preserve">1. </w:t>
      </w:r>
      <w:r>
        <w:rPr>
          <w:rFonts w:hint="eastAsia" w:ascii="仿宋" w:hAnsi="仿宋" w:eastAsia="仿宋" w:cs="仿宋"/>
          <w:sz w:val="32"/>
          <w:szCs w:val="32"/>
          <w:lang w:eastAsia="zh-CN"/>
        </w:rPr>
        <w:t>市场参与企业</w:t>
      </w:r>
      <w:r>
        <w:rPr>
          <w:rFonts w:hint="eastAsia" w:ascii="仿宋" w:hAnsi="仿宋" w:eastAsia="仿宋" w:cs="仿宋"/>
          <w:sz w:val="32"/>
          <w:szCs w:val="32"/>
        </w:rPr>
        <w:t>应当通过交易平台获得相关的</w:t>
      </w:r>
      <w:r>
        <w:rPr>
          <w:rFonts w:hint="eastAsia" w:ascii="仿宋" w:hAnsi="仿宋" w:eastAsia="仿宋" w:cs="仿宋"/>
          <w:sz w:val="32"/>
          <w:szCs w:val="32"/>
          <w:lang w:eastAsia="zh-CN"/>
        </w:rPr>
        <w:t>核算</w:t>
      </w:r>
      <w:r>
        <w:rPr>
          <w:rFonts w:hint="eastAsia" w:ascii="仿宋" w:hAnsi="仿宋" w:eastAsia="仿宋" w:cs="仿宋"/>
          <w:sz w:val="32"/>
          <w:szCs w:val="32"/>
        </w:rPr>
        <w:t>数据</w:t>
      </w:r>
      <w:r>
        <w:rPr>
          <w:rFonts w:hint="eastAsia" w:ascii="仿宋" w:hAnsi="仿宋" w:eastAsia="仿宋" w:cs="仿宋"/>
          <w:sz w:val="32"/>
          <w:szCs w:val="32"/>
          <w:lang w:eastAsia="zh-CN"/>
        </w:rPr>
        <w:t>；</w:t>
      </w:r>
      <w:bookmarkEnd w:id="24"/>
    </w:p>
    <w:p w14:paraId="116F2DE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2. 每个交易日的日终</w:t>
      </w:r>
      <w:r>
        <w:rPr>
          <w:rFonts w:hint="eastAsia" w:ascii="仿宋" w:hAnsi="仿宋" w:eastAsia="仿宋" w:cs="仿宋"/>
          <w:sz w:val="32"/>
          <w:szCs w:val="32"/>
          <w:lang w:eastAsia="zh-CN"/>
        </w:rPr>
        <w:t>核算</w:t>
      </w:r>
      <w:r>
        <w:rPr>
          <w:rFonts w:hint="eastAsia" w:ascii="仿宋" w:hAnsi="仿宋" w:eastAsia="仿宋" w:cs="仿宋"/>
          <w:sz w:val="32"/>
          <w:szCs w:val="32"/>
        </w:rPr>
        <w:t>完成后，委托交易所进行资金</w:t>
      </w:r>
      <w:r>
        <w:rPr>
          <w:rFonts w:hint="eastAsia" w:ascii="仿宋" w:hAnsi="仿宋" w:eastAsia="仿宋" w:cs="仿宋"/>
          <w:sz w:val="32"/>
          <w:szCs w:val="32"/>
          <w:lang w:eastAsia="zh-CN"/>
        </w:rPr>
        <w:t>核算</w:t>
      </w:r>
      <w:r>
        <w:rPr>
          <w:rFonts w:hint="eastAsia" w:ascii="仿宋" w:hAnsi="仿宋" w:eastAsia="仿宋" w:cs="仿宋"/>
          <w:sz w:val="32"/>
          <w:szCs w:val="32"/>
        </w:rPr>
        <w:t>的</w:t>
      </w:r>
      <w:r>
        <w:rPr>
          <w:rFonts w:hint="eastAsia" w:ascii="仿宋" w:hAnsi="仿宋" w:eastAsia="仿宋" w:cs="仿宋"/>
          <w:sz w:val="32"/>
          <w:szCs w:val="32"/>
          <w:lang w:eastAsia="zh-CN"/>
        </w:rPr>
        <w:t>市场参与企业</w:t>
      </w:r>
      <w:r>
        <w:rPr>
          <w:rFonts w:hint="eastAsia" w:ascii="仿宋" w:hAnsi="仿宋" w:eastAsia="仿宋" w:cs="仿宋"/>
          <w:sz w:val="32"/>
          <w:szCs w:val="32"/>
        </w:rPr>
        <w:t>可通过交易平台查看及获取</w:t>
      </w:r>
      <w:r>
        <w:rPr>
          <w:rFonts w:hint="eastAsia" w:ascii="仿宋" w:hAnsi="仿宋" w:eastAsia="仿宋" w:cs="仿宋"/>
          <w:sz w:val="32"/>
          <w:szCs w:val="32"/>
          <w:lang w:eastAsia="zh-CN"/>
        </w:rPr>
        <w:t>核算</w:t>
      </w:r>
      <w:r>
        <w:rPr>
          <w:rFonts w:hint="eastAsia" w:ascii="仿宋" w:hAnsi="仿宋" w:eastAsia="仿宋" w:cs="仿宋"/>
          <w:sz w:val="32"/>
          <w:szCs w:val="32"/>
        </w:rPr>
        <w:t>数据</w:t>
      </w:r>
      <w:r>
        <w:rPr>
          <w:rFonts w:hint="eastAsia" w:ascii="仿宋" w:hAnsi="仿宋" w:eastAsia="仿宋" w:cs="仿宋"/>
          <w:sz w:val="32"/>
          <w:szCs w:val="32"/>
          <w:lang w:eastAsia="zh-CN"/>
        </w:rPr>
        <w:t>；</w:t>
      </w:r>
    </w:p>
    <w:p w14:paraId="2ED13B59">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3. 遇特殊情况</w:t>
      </w:r>
      <w:r>
        <w:rPr>
          <w:rFonts w:hint="eastAsia" w:ascii="仿宋" w:hAnsi="仿宋" w:eastAsia="仿宋" w:cs="仿宋"/>
          <w:sz w:val="32"/>
          <w:szCs w:val="32"/>
          <w:lang w:val="en-US" w:eastAsia="zh-CN"/>
        </w:rPr>
        <w:t>导致</w:t>
      </w:r>
      <w:r>
        <w:rPr>
          <w:rFonts w:hint="eastAsia" w:ascii="仿宋" w:hAnsi="仿宋" w:eastAsia="仿宋" w:cs="仿宋"/>
          <w:sz w:val="32"/>
          <w:szCs w:val="32"/>
        </w:rPr>
        <w:t>交易所</w:t>
      </w:r>
      <w:r>
        <w:rPr>
          <w:rFonts w:hint="eastAsia" w:ascii="仿宋" w:hAnsi="仿宋" w:eastAsia="仿宋" w:cs="仿宋"/>
          <w:sz w:val="32"/>
          <w:szCs w:val="32"/>
          <w:lang w:val="en-US" w:eastAsia="zh-CN"/>
        </w:rPr>
        <w:t>无法</w:t>
      </w:r>
      <w:r>
        <w:rPr>
          <w:rFonts w:hint="eastAsia" w:ascii="仿宋" w:hAnsi="仿宋" w:eastAsia="仿宋" w:cs="仿宋"/>
          <w:sz w:val="32"/>
          <w:szCs w:val="32"/>
        </w:rPr>
        <w:t>按时提供</w:t>
      </w:r>
      <w:r>
        <w:rPr>
          <w:rFonts w:hint="eastAsia" w:ascii="仿宋" w:hAnsi="仿宋" w:eastAsia="仿宋" w:cs="仿宋"/>
          <w:sz w:val="32"/>
          <w:szCs w:val="32"/>
          <w:lang w:eastAsia="zh-CN"/>
        </w:rPr>
        <w:t>核算</w:t>
      </w:r>
      <w:r>
        <w:rPr>
          <w:rFonts w:hint="eastAsia" w:ascii="仿宋" w:hAnsi="仿宋" w:eastAsia="仿宋" w:cs="仿宋"/>
          <w:sz w:val="32"/>
          <w:szCs w:val="32"/>
        </w:rPr>
        <w:t>数据</w:t>
      </w:r>
      <w:r>
        <w:rPr>
          <w:rFonts w:hint="eastAsia" w:ascii="仿宋" w:hAnsi="仿宋" w:eastAsia="仿宋" w:cs="仿宋"/>
          <w:sz w:val="32"/>
          <w:szCs w:val="32"/>
          <w:lang w:val="en-US" w:eastAsia="zh-CN"/>
        </w:rPr>
        <w:t>的</w:t>
      </w:r>
      <w:r>
        <w:rPr>
          <w:rFonts w:hint="eastAsia" w:ascii="仿宋" w:hAnsi="仿宋" w:eastAsia="仿宋" w:cs="仿宋"/>
          <w:sz w:val="32"/>
          <w:szCs w:val="32"/>
        </w:rPr>
        <w:t>，交易所将以公告形式另行通知提供</w:t>
      </w:r>
      <w:r>
        <w:rPr>
          <w:rFonts w:hint="eastAsia" w:ascii="仿宋" w:hAnsi="仿宋" w:eastAsia="仿宋" w:cs="仿宋"/>
          <w:sz w:val="32"/>
          <w:szCs w:val="32"/>
          <w:lang w:eastAsia="zh-CN"/>
        </w:rPr>
        <w:t>核算</w:t>
      </w:r>
      <w:r>
        <w:rPr>
          <w:rFonts w:hint="eastAsia" w:ascii="仿宋" w:hAnsi="仿宋" w:eastAsia="仿宋" w:cs="仿宋"/>
          <w:sz w:val="32"/>
          <w:szCs w:val="32"/>
        </w:rPr>
        <w:t>数据的时间；</w:t>
      </w:r>
    </w:p>
    <w:p w14:paraId="74E2DB1D">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4. </w:t>
      </w:r>
      <w:r>
        <w:rPr>
          <w:rFonts w:hint="eastAsia" w:ascii="仿宋" w:hAnsi="仿宋" w:eastAsia="仿宋" w:cs="仿宋"/>
          <w:sz w:val="32"/>
          <w:szCs w:val="32"/>
          <w:lang w:eastAsia="zh-CN"/>
        </w:rPr>
        <w:t>市场参与企业</w:t>
      </w:r>
      <w:r>
        <w:rPr>
          <w:rFonts w:hint="eastAsia" w:ascii="仿宋" w:hAnsi="仿宋" w:eastAsia="仿宋" w:cs="仿宋"/>
          <w:sz w:val="32"/>
          <w:szCs w:val="32"/>
        </w:rPr>
        <w:t>应每</w:t>
      </w:r>
      <w:r>
        <w:rPr>
          <w:rFonts w:hint="eastAsia" w:ascii="仿宋" w:hAnsi="仿宋" w:eastAsia="仿宋" w:cs="仿宋"/>
          <w:sz w:val="32"/>
          <w:szCs w:val="32"/>
          <w:lang w:val="en-US" w:eastAsia="zh-CN"/>
        </w:rPr>
        <w:t>日</w:t>
      </w:r>
      <w:r>
        <w:rPr>
          <w:rFonts w:hint="eastAsia" w:ascii="仿宋" w:hAnsi="仿宋" w:eastAsia="仿宋" w:cs="仿宋"/>
          <w:sz w:val="32"/>
          <w:szCs w:val="32"/>
        </w:rPr>
        <w:t>及时</w:t>
      </w:r>
      <w:r>
        <w:rPr>
          <w:rFonts w:hint="eastAsia" w:ascii="仿宋" w:hAnsi="仿宋" w:eastAsia="仿宋" w:cs="仿宋"/>
          <w:sz w:val="32"/>
          <w:szCs w:val="32"/>
          <w:lang w:val="en-US" w:eastAsia="zh-CN"/>
        </w:rPr>
        <w:t>获</w:t>
      </w:r>
      <w:r>
        <w:rPr>
          <w:rFonts w:hint="eastAsia" w:ascii="仿宋" w:hAnsi="仿宋" w:eastAsia="仿宋" w:cs="仿宋"/>
          <w:sz w:val="32"/>
          <w:szCs w:val="32"/>
        </w:rPr>
        <w:t>取交易所提供的</w:t>
      </w:r>
      <w:r>
        <w:rPr>
          <w:rFonts w:hint="eastAsia" w:ascii="仿宋" w:hAnsi="仿宋" w:eastAsia="仿宋" w:cs="仿宋"/>
          <w:sz w:val="32"/>
          <w:szCs w:val="32"/>
          <w:lang w:eastAsia="zh-CN"/>
        </w:rPr>
        <w:t>核算</w:t>
      </w:r>
      <w:r>
        <w:rPr>
          <w:rFonts w:hint="eastAsia" w:ascii="仿宋" w:hAnsi="仿宋" w:eastAsia="仿宋" w:cs="仿宋"/>
          <w:sz w:val="32"/>
          <w:szCs w:val="32"/>
        </w:rPr>
        <w:t>数据，做好核对工作，并妥善保存，对</w:t>
      </w:r>
      <w:r>
        <w:rPr>
          <w:rFonts w:hint="eastAsia" w:ascii="仿宋" w:hAnsi="仿宋" w:eastAsia="仿宋" w:cs="仿宋"/>
          <w:sz w:val="32"/>
          <w:szCs w:val="32"/>
          <w:lang w:val="en-US" w:eastAsia="zh-CN"/>
        </w:rPr>
        <w:t>相</w:t>
      </w:r>
      <w:r>
        <w:rPr>
          <w:rFonts w:hint="eastAsia" w:ascii="仿宋" w:hAnsi="仿宋" w:eastAsia="仿宋" w:cs="仿宋"/>
          <w:sz w:val="32"/>
          <w:szCs w:val="32"/>
        </w:rPr>
        <w:t>关业务</w:t>
      </w:r>
      <w:r>
        <w:rPr>
          <w:rFonts w:hint="eastAsia" w:ascii="仿宋" w:hAnsi="仿宋" w:eastAsia="仿宋" w:cs="仿宋"/>
          <w:sz w:val="32"/>
          <w:szCs w:val="32"/>
          <w:lang w:val="en-US" w:eastAsia="zh-CN"/>
        </w:rPr>
        <w:t>存在</w:t>
      </w:r>
      <w:r>
        <w:rPr>
          <w:rFonts w:hint="eastAsia" w:ascii="仿宋" w:hAnsi="仿宋" w:eastAsia="仿宋" w:cs="仿宋"/>
          <w:sz w:val="32"/>
          <w:szCs w:val="32"/>
        </w:rPr>
        <w:t>争议的，应当保存至该争议消除为止；</w:t>
      </w:r>
    </w:p>
    <w:p w14:paraId="55A2F11B">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 xml:space="preserve">5. </w:t>
      </w:r>
      <w:r>
        <w:rPr>
          <w:rFonts w:hint="eastAsia" w:ascii="仿宋" w:hAnsi="仿宋" w:eastAsia="仿宋" w:cs="仿宋"/>
          <w:sz w:val="32"/>
          <w:szCs w:val="32"/>
          <w:lang w:eastAsia="zh-CN"/>
        </w:rPr>
        <w:t>市场参与企业</w:t>
      </w:r>
      <w:r>
        <w:rPr>
          <w:rFonts w:hint="eastAsia" w:ascii="仿宋" w:hAnsi="仿宋" w:eastAsia="仿宋" w:cs="仿宋"/>
          <w:sz w:val="32"/>
          <w:szCs w:val="32"/>
        </w:rPr>
        <w:t>如对</w:t>
      </w:r>
      <w:r>
        <w:rPr>
          <w:rFonts w:hint="eastAsia" w:ascii="仿宋" w:hAnsi="仿宋" w:eastAsia="仿宋" w:cs="仿宋"/>
          <w:sz w:val="32"/>
          <w:szCs w:val="32"/>
          <w:lang w:eastAsia="zh-CN"/>
        </w:rPr>
        <w:t>核算</w:t>
      </w:r>
      <w:r>
        <w:rPr>
          <w:rFonts w:hint="eastAsia" w:ascii="仿宋" w:hAnsi="仿宋" w:eastAsia="仿宋" w:cs="仿宋"/>
          <w:sz w:val="32"/>
          <w:szCs w:val="32"/>
        </w:rPr>
        <w:t>数据有异议，应在下一个交易日开市前三十分钟以书面形式通知交易所。如在规定时间内没有对</w:t>
      </w:r>
      <w:r>
        <w:rPr>
          <w:rFonts w:hint="eastAsia" w:ascii="仿宋" w:hAnsi="仿宋" w:eastAsia="仿宋" w:cs="仿宋"/>
          <w:sz w:val="32"/>
          <w:szCs w:val="32"/>
          <w:lang w:val="en-US" w:eastAsia="zh-CN"/>
        </w:rPr>
        <w:t>核</w:t>
      </w:r>
      <w:r>
        <w:rPr>
          <w:rFonts w:hint="eastAsia" w:ascii="仿宋" w:hAnsi="仿宋" w:eastAsia="仿宋" w:cs="仿宋"/>
          <w:sz w:val="32"/>
          <w:szCs w:val="32"/>
        </w:rPr>
        <w:t>算数据提出异议，则视</w:t>
      </w:r>
      <w:r>
        <w:rPr>
          <w:rFonts w:hint="eastAsia" w:ascii="仿宋" w:hAnsi="仿宋" w:eastAsia="仿宋" w:cs="仿宋"/>
          <w:sz w:val="32"/>
          <w:szCs w:val="32"/>
          <w:lang w:val="en-US" w:eastAsia="zh-CN"/>
        </w:rPr>
        <w:t>为其</w:t>
      </w:r>
      <w:r>
        <w:rPr>
          <w:rFonts w:hint="eastAsia" w:ascii="仿宋" w:hAnsi="仿宋" w:eastAsia="仿宋" w:cs="仿宋"/>
          <w:sz w:val="32"/>
          <w:szCs w:val="32"/>
        </w:rPr>
        <w:t>已认可</w:t>
      </w:r>
      <w:r>
        <w:rPr>
          <w:rFonts w:hint="eastAsia" w:ascii="仿宋" w:hAnsi="仿宋" w:eastAsia="仿宋" w:cs="仿宋"/>
          <w:sz w:val="32"/>
          <w:szCs w:val="32"/>
          <w:lang w:eastAsia="zh-CN"/>
        </w:rPr>
        <w:t>核算</w:t>
      </w:r>
      <w:r>
        <w:rPr>
          <w:rFonts w:hint="eastAsia" w:ascii="仿宋" w:hAnsi="仿宋" w:eastAsia="仿宋" w:cs="仿宋"/>
          <w:sz w:val="32"/>
          <w:szCs w:val="32"/>
        </w:rPr>
        <w:t>数据的正确性</w:t>
      </w:r>
      <w:r>
        <w:rPr>
          <w:rFonts w:hint="eastAsia" w:ascii="仿宋" w:hAnsi="仿宋" w:eastAsia="仿宋" w:cs="仿宋"/>
          <w:sz w:val="32"/>
          <w:szCs w:val="32"/>
          <w:lang w:eastAsia="zh-CN"/>
        </w:rPr>
        <w:t>；</w:t>
      </w:r>
    </w:p>
    <w:p w14:paraId="048E535A">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6. 交易所可以检查</w:t>
      </w:r>
      <w:r>
        <w:rPr>
          <w:rFonts w:hint="eastAsia" w:ascii="仿宋" w:hAnsi="仿宋" w:eastAsia="仿宋" w:cs="仿宋"/>
          <w:sz w:val="32"/>
          <w:szCs w:val="32"/>
          <w:lang w:eastAsia="zh-CN"/>
        </w:rPr>
        <w:t>市场参与企业</w:t>
      </w:r>
      <w:r>
        <w:rPr>
          <w:rFonts w:hint="eastAsia" w:ascii="仿宋" w:hAnsi="仿宋" w:eastAsia="仿宋" w:cs="仿宋"/>
          <w:sz w:val="32"/>
          <w:szCs w:val="32"/>
        </w:rPr>
        <w:t>的</w:t>
      </w:r>
      <w:r>
        <w:rPr>
          <w:rFonts w:hint="eastAsia" w:ascii="仿宋" w:hAnsi="仿宋" w:eastAsia="仿宋" w:cs="仿宋"/>
          <w:sz w:val="32"/>
          <w:szCs w:val="32"/>
          <w:lang w:eastAsia="zh-CN"/>
        </w:rPr>
        <w:t>核算</w:t>
      </w:r>
      <w:r>
        <w:rPr>
          <w:rFonts w:hint="eastAsia" w:ascii="仿宋" w:hAnsi="仿宋" w:eastAsia="仿宋" w:cs="仿宋"/>
          <w:sz w:val="32"/>
          <w:szCs w:val="32"/>
        </w:rPr>
        <w:t>资料、财务报表及相关的凭证和账册，</w:t>
      </w:r>
      <w:r>
        <w:rPr>
          <w:rFonts w:hint="eastAsia" w:ascii="仿宋" w:hAnsi="仿宋" w:eastAsia="仿宋" w:cs="仿宋"/>
          <w:sz w:val="32"/>
          <w:szCs w:val="32"/>
          <w:lang w:eastAsia="zh-CN"/>
        </w:rPr>
        <w:t>市场参与企业</w:t>
      </w:r>
      <w:r>
        <w:rPr>
          <w:rFonts w:hint="eastAsia" w:ascii="仿宋" w:hAnsi="仿宋" w:eastAsia="仿宋" w:cs="仿宋"/>
          <w:sz w:val="32"/>
          <w:szCs w:val="32"/>
        </w:rPr>
        <w:t>应当予以配</w:t>
      </w:r>
      <w:r>
        <w:rPr>
          <w:rFonts w:hint="eastAsia" w:ascii="仿宋" w:hAnsi="仿宋" w:eastAsia="仿宋" w:cs="仿宋"/>
          <w:sz w:val="32"/>
          <w:szCs w:val="32"/>
          <w:lang w:val="en-US" w:eastAsia="zh-CN"/>
        </w:rPr>
        <w:t>合；</w:t>
      </w:r>
    </w:p>
    <w:p w14:paraId="5A9FCB1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7. 交易所应保证</w:t>
      </w:r>
      <w:r>
        <w:rPr>
          <w:rFonts w:hint="eastAsia" w:ascii="仿宋" w:hAnsi="仿宋" w:eastAsia="仿宋" w:cs="仿宋"/>
          <w:sz w:val="32"/>
          <w:szCs w:val="32"/>
          <w:lang w:eastAsia="zh-CN"/>
        </w:rPr>
        <w:t>核算</w:t>
      </w:r>
      <w:r>
        <w:rPr>
          <w:rFonts w:hint="eastAsia" w:ascii="仿宋" w:hAnsi="仿宋" w:eastAsia="仿宋" w:cs="仿宋"/>
          <w:sz w:val="32"/>
          <w:szCs w:val="32"/>
        </w:rPr>
        <w:t>资料及相关凭证、账册的完整与安全，保存期限应不少于20年。</w:t>
      </w:r>
    </w:p>
    <w:p w14:paraId="195A4E33">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p>
    <w:p w14:paraId="075A14A1">
      <w:pPr>
        <w:numPr>
          <w:ilvl w:val="0"/>
          <w:numId w:val="3"/>
        </w:numPr>
        <w:jc w:val="center"/>
        <w:outlineLvl w:val="0"/>
        <w:rPr>
          <w:rFonts w:hint="eastAsia" w:ascii="黑体" w:hAnsi="黑体" w:eastAsia="黑体" w:cs="黑体"/>
          <w:sz w:val="32"/>
          <w:szCs w:val="32"/>
        </w:rPr>
      </w:pPr>
      <w:r>
        <w:rPr>
          <w:rFonts w:hint="eastAsia" w:ascii="黑体" w:hAnsi="黑体" w:eastAsia="黑体" w:cs="黑体"/>
          <w:sz w:val="32"/>
          <w:szCs w:val="32"/>
        </w:rPr>
        <w:t xml:space="preserve"> </w:t>
      </w:r>
      <w:bookmarkStart w:id="25" w:name="_Toc18501"/>
      <w:r>
        <w:rPr>
          <w:rFonts w:hint="eastAsia" w:ascii="黑体" w:hAnsi="黑体" w:eastAsia="黑体" w:cs="黑体"/>
          <w:sz w:val="32"/>
          <w:szCs w:val="32"/>
        </w:rPr>
        <w:t>风险与责任</w:t>
      </w:r>
      <w:bookmarkEnd w:id="25"/>
    </w:p>
    <w:p w14:paraId="4670BACD">
      <w:pPr>
        <w:jc w:val="both"/>
      </w:pPr>
    </w:p>
    <w:p w14:paraId="283489C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第二十四条</w:t>
      </w:r>
      <w:r>
        <w:rPr>
          <w:rFonts w:hint="eastAsia" w:ascii="仿宋" w:hAnsi="仿宋" w:eastAsia="仿宋" w:cs="仿宋"/>
          <w:sz w:val="32"/>
          <w:szCs w:val="32"/>
        </w:rPr>
        <w:t xml:space="preserve">  委托交易所进行</w:t>
      </w:r>
      <w:r>
        <w:rPr>
          <w:rFonts w:hint="eastAsia" w:ascii="仿宋" w:hAnsi="仿宋" w:eastAsia="仿宋" w:cs="仿宋"/>
          <w:sz w:val="32"/>
          <w:szCs w:val="32"/>
          <w:lang w:val="en-US" w:eastAsia="zh-CN"/>
        </w:rPr>
        <w:t>交易账户核算</w:t>
      </w:r>
      <w:r>
        <w:rPr>
          <w:rFonts w:hint="eastAsia" w:ascii="仿宋" w:hAnsi="仿宋" w:eastAsia="仿宋" w:cs="仿宋"/>
          <w:sz w:val="32"/>
          <w:szCs w:val="32"/>
        </w:rPr>
        <w:t>的</w:t>
      </w:r>
      <w:r>
        <w:rPr>
          <w:rFonts w:hint="eastAsia" w:ascii="仿宋" w:hAnsi="仿宋" w:eastAsia="仿宋" w:cs="仿宋"/>
          <w:sz w:val="32"/>
          <w:szCs w:val="32"/>
          <w:lang w:eastAsia="zh-CN"/>
        </w:rPr>
        <w:t>市场参与企业</w:t>
      </w:r>
      <w:r>
        <w:rPr>
          <w:rFonts w:hint="eastAsia" w:ascii="仿宋" w:hAnsi="仿宋" w:eastAsia="仿宋" w:cs="仿宋"/>
          <w:sz w:val="32"/>
          <w:szCs w:val="32"/>
          <w:lang w:val="en-US" w:eastAsia="zh-CN"/>
        </w:rPr>
        <w:t>其</w:t>
      </w:r>
      <w:r>
        <w:rPr>
          <w:rFonts w:hint="eastAsia" w:ascii="仿宋" w:hAnsi="仿宋" w:eastAsia="仿宋" w:cs="仿宋"/>
          <w:sz w:val="32"/>
          <w:szCs w:val="32"/>
        </w:rPr>
        <w:t>交易账户、</w:t>
      </w:r>
      <w:r>
        <w:rPr>
          <w:rFonts w:hint="eastAsia" w:ascii="仿宋" w:hAnsi="仿宋" w:eastAsia="仿宋" w:cs="仿宋"/>
          <w:sz w:val="32"/>
          <w:szCs w:val="32"/>
          <w:lang w:eastAsia="zh-CN"/>
        </w:rPr>
        <w:t>核算</w:t>
      </w:r>
      <w:r>
        <w:rPr>
          <w:rFonts w:hint="eastAsia" w:ascii="仿宋" w:hAnsi="仿宋" w:eastAsia="仿宋" w:cs="仿宋"/>
          <w:sz w:val="32"/>
          <w:szCs w:val="32"/>
        </w:rPr>
        <w:t>账户或银行</w:t>
      </w:r>
      <w:r>
        <w:rPr>
          <w:rFonts w:hint="eastAsia" w:ascii="仿宋" w:hAnsi="仿宋" w:eastAsia="仿宋" w:cs="仿宋"/>
          <w:sz w:val="32"/>
          <w:szCs w:val="32"/>
          <w:lang w:eastAsia="zh-CN"/>
        </w:rPr>
        <w:t>核算</w:t>
      </w:r>
      <w:r>
        <w:rPr>
          <w:rFonts w:hint="eastAsia" w:ascii="仿宋" w:hAnsi="仿宋" w:eastAsia="仿宋" w:cs="仿宋"/>
          <w:sz w:val="32"/>
          <w:szCs w:val="32"/>
        </w:rPr>
        <w:t>账户如出现金额异常，</w:t>
      </w:r>
      <w:r>
        <w:rPr>
          <w:rFonts w:hint="eastAsia" w:ascii="仿宋" w:hAnsi="仿宋" w:eastAsia="仿宋" w:cs="仿宋"/>
          <w:sz w:val="32"/>
          <w:szCs w:val="32"/>
          <w:lang w:eastAsia="zh-CN"/>
        </w:rPr>
        <w:t>市场参与企业</w:t>
      </w:r>
      <w:r>
        <w:rPr>
          <w:rFonts w:hint="eastAsia" w:ascii="仿宋" w:hAnsi="仿宋" w:eastAsia="仿宋" w:cs="仿宋"/>
          <w:sz w:val="32"/>
          <w:szCs w:val="32"/>
        </w:rPr>
        <w:t>不得支取或使用</w:t>
      </w:r>
      <w:r>
        <w:rPr>
          <w:rFonts w:hint="eastAsia" w:ascii="仿宋" w:hAnsi="仿宋" w:eastAsia="仿宋" w:cs="仿宋"/>
          <w:sz w:val="32"/>
          <w:szCs w:val="32"/>
          <w:lang w:val="en-US" w:eastAsia="zh-CN"/>
        </w:rPr>
        <w:t>该</w:t>
      </w:r>
      <w:r>
        <w:rPr>
          <w:rFonts w:hint="eastAsia" w:ascii="仿宋" w:hAnsi="仿宋" w:eastAsia="仿宋" w:cs="仿宋"/>
          <w:sz w:val="32"/>
          <w:szCs w:val="32"/>
        </w:rPr>
        <w:t>非正常部分资金，并应立即与交易所或合作银行联系，</w:t>
      </w:r>
      <w:r>
        <w:rPr>
          <w:rFonts w:hint="eastAsia" w:ascii="仿宋" w:hAnsi="仿宋" w:eastAsia="仿宋" w:cs="仿宋"/>
          <w:sz w:val="32"/>
          <w:szCs w:val="32"/>
          <w:lang w:val="en-US" w:eastAsia="zh-CN"/>
        </w:rPr>
        <w:t>因</w:t>
      </w:r>
      <w:r>
        <w:rPr>
          <w:rFonts w:hint="eastAsia" w:ascii="仿宋" w:hAnsi="仿宋" w:eastAsia="仿宋" w:cs="仿宋"/>
          <w:sz w:val="32"/>
          <w:szCs w:val="32"/>
        </w:rPr>
        <w:t>使用非正常部分资金参与交易所业务，</w:t>
      </w:r>
      <w:r>
        <w:rPr>
          <w:rFonts w:hint="eastAsia" w:ascii="仿宋" w:hAnsi="仿宋" w:eastAsia="仿宋" w:cs="仿宋"/>
          <w:sz w:val="32"/>
          <w:szCs w:val="32"/>
          <w:lang w:val="en-US" w:eastAsia="zh-CN"/>
        </w:rPr>
        <w:t>或因</w:t>
      </w:r>
      <w:r>
        <w:rPr>
          <w:rFonts w:hint="eastAsia" w:ascii="仿宋" w:hAnsi="仿宋" w:eastAsia="仿宋" w:cs="仿宋"/>
          <w:sz w:val="32"/>
          <w:szCs w:val="32"/>
        </w:rPr>
        <w:t>交易所对非正常部分资金</w:t>
      </w:r>
      <w:r>
        <w:rPr>
          <w:rFonts w:hint="eastAsia" w:ascii="仿宋" w:hAnsi="仿宋" w:eastAsia="仿宋" w:cs="仿宋"/>
          <w:sz w:val="32"/>
          <w:szCs w:val="32"/>
          <w:lang w:val="en-US" w:eastAsia="zh-CN"/>
        </w:rPr>
        <w:t>进行</w:t>
      </w:r>
      <w:r>
        <w:rPr>
          <w:rFonts w:hint="eastAsia" w:ascii="仿宋" w:hAnsi="仿宋" w:eastAsia="仿宋" w:cs="仿宋"/>
          <w:sz w:val="32"/>
          <w:szCs w:val="32"/>
        </w:rPr>
        <w:t>调整所产生的</w:t>
      </w:r>
      <w:r>
        <w:rPr>
          <w:rFonts w:hint="eastAsia" w:ascii="仿宋" w:hAnsi="仿宋" w:eastAsia="仿宋" w:cs="仿宋"/>
          <w:sz w:val="32"/>
          <w:szCs w:val="32"/>
          <w:lang w:val="en-US" w:eastAsia="zh-CN"/>
        </w:rPr>
        <w:t>一切</w:t>
      </w:r>
      <w:r>
        <w:rPr>
          <w:rFonts w:hint="eastAsia" w:ascii="仿宋" w:hAnsi="仿宋" w:eastAsia="仿宋" w:cs="仿宋"/>
          <w:sz w:val="32"/>
          <w:szCs w:val="32"/>
        </w:rPr>
        <w:t>业务风险及资金风险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均由市场参与企业自行承担</w:t>
      </w:r>
      <w:r>
        <w:rPr>
          <w:rFonts w:hint="eastAsia" w:ascii="仿宋" w:hAnsi="仿宋" w:eastAsia="仿宋" w:cs="仿宋"/>
          <w:sz w:val="32"/>
          <w:szCs w:val="32"/>
        </w:rPr>
        <w:t>。非正常部分资金指金额异常的资金。</w:t>
      </w:r>
    </w:p>
    <w:p w14:paraId="7EA137C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第二十五条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如已支取非正常部分资金，须及时返还。未返还的，交易所有</w:t>
      </w:r>
      <w:r>
        <w:rPr>
          <w:rFonts w:hint="eastAsia" w:ascii="仿宋" w:hAnsi="仿宋" w:eastAsia="仿宋" w:cs="仿宋"/>
          <w:sz w:val="32"/>
          <w:szCs w:val="32"/>
          <w:lang w:val="en-US" w:eastAsia="zh-CN"/>
        </w:rPr>
        <w:t>权通知合作银行</w:t>
      </w:r>
      <w:r>
        <w:rPr>
          <w:rFonts w:hint="eastAsia" w:ascii="仿宋" w:hAnsi="仿宋" w:eastAsia="仿宋" w:cs="仿宋"/>
          <w:sz w:val="32"/>
          <w:szCs w:val="32"/>
        </w:rPr>
        <w:t>直接从市场参与</w:t>
      </w:r>
      <w:r>
        <w:rPr>
          <w:rFonts w:hint="eastAsia" w:ascii="仿宋" w:hAnsi="仿宋" w:eastAsia="仿宋" w:cs="仿宋"/>
          <w:sz w:val="32"/>
          <w:szCs w:val="32"/>
          <w:lang w:val="en-US" w:eastAsia="zh-CN"/>
        </w:rPr>
        <w:t>企业</w:t>
      </w:r>
      <w:r>
        <w:rPr>
          <w:rFonts w:hint="eastAsia" w:ascii="仿宋" w:hAnsi="仿宋" w:eastAsia="仿宋" w:cs="仿宋"/>
          <w:sz w:val="32"/>
          <w:szCs w:val="32"/>
        </w:rPr>
        <w:t>的交易账户和</w:t>
      </w:r>
      <w:r>
        <w:rPr>
          <w:rFonts w:hint="eastAsia" w:ascii="仿宋" w:hAnsi="仿宋" w:eastAsia="仿宋" w:cs="仿宋"/>
          <w:sz w:val="32"/>
          <w:szCs w:val="32"/>
          <w:lang w:eastAsia="zh-CN"/>
        </w:rPr>
        <w:t>核算</w:t>
      </w:r>
      <w:r>
        <w:rPr>
          <w:rFonts w:hint="eastAsia" w:ascii="仿宋" w:hAnsi="仿宋" w:eastAsia="仿宋" w:cs="仿宋"/>
          <w:sz w:val="32"/>
          <w:szCs w:val="32"/>
        </w:rPr>
        <w:t>账户中扣划</w:t>
      </w:r>
      <w:r>
        <w:rPr>
          <w:rFonts w:hint="eastAsia" w:ascii="仿宋" w:hAnsi="仿宋" w:eastAsia="仿宋" w:cs="仿宋"/>
          <w:sz w:val="32"/>
          <w:szCs w:val="32"/>
          <w:lang w:val="en-US" w:eastAsia="zh-CN"/>
        </w:rPr>
        <w:t>或进行</w:t>
      </w:r>
      <w:r>
        <w:rPr>
          <w:rFonts w:hint="eastAsia" w:ascii="仿宋" w:hAnsi="仿宋" w:eastAsia="仿宋" w:cs="仿宋"/>
          <w:sz w:val="32"/>
          <w:szCs w:val="32"/>
        </w:rPr>
        <w:t>追偿的权利。因扣划未返还资金导致</w:t>
      </w:r>
      <w:r>
        <w:rPr>
          <w:rFonts w:hint="eastAsia" w:ascii="仿宋" w:hAnsi="仿宋" w:eastAsia="仿宋" w:cs="仿宋"/>
          <w:sz w:val="32"/>
          <w:szCs w:val="32"/>
          <w:lang w:eastAsia="zh-CN"/>
        </w:rPr>
        <w:t>市场参与企业</w:t>
      </w:r>
      <w:r>
        <w:rPr>
          <w:rFonts w:hint="eastAsia" w:ascii="仿宋" w:hAnsi="仿宋" w:eastAsia="仿宋" w:cs="仿宋"/>
          <w:sz w:val="32"/>
          <w:szCs w:val="32"/>
          <w:lang w:val="en-US" w:eastAsia="zh-CN"/>
        </w:rPr>
        <w:t>发生</w:t>
      </w:r>
      <w:r>
        <w:rPr>
          <w:rFonts w:hint="eastAsia" w:ascii="仿宋" w:hAnsi="仿宋" w:eastAsia="仿宋" w:cs="仿宋"/>
          <w:sz w:val="32"/>
          <w:szCs w:val="32"/>
        </w:rPr>
        <w:t>资金变动以及被强行了结、交易无效等一切相关风险，交易所不承担任何责任。</w:t>
      </w:r>
    </w:p>
    <w:p w14:paraId="475A21A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第二十六条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，如使用非正常部分资金参与交易所业务，所产生的亏损、费用由市场参与</w:t>
      </w:r>
      <w:r>
        <w:rPr>
          <w:rFonts w:hint="eastAsia" w:ascii="仿宋" w:hAnsi="仿宋" w:eastAsia="仿宋" w:cs="仿宋"/>
          <w:sz w:val="32"/>
          <w:szCs w:val="32"/>
          <w:lang w:val="en-US" w:eastAsia="zh-CN"/>
        </w:rPr>
        <w:t>企业</w:t>
      </w:r>
      <w:r>
        <w:rPr>
          <w:rFonts w:hint="eastAsia" w:ascii="仿宋" w:hAnsi="仿宋" w:eastAsia="仿宋" w:cs="仿宋"/>
          <w:sz w:val="32"/>
          <w:szCs w:val="32"/>
        </w:rPr>
        <w:t>自行承担，所产生的盈利上缴交易所。交易所有权</w:t>
      </w:r>
      <w:r>
        <w:rPr>
          <w:rFonts w:hint="eastAsia" w:ascii="仿宋" w:hAnsi="仿宋" w:eastAsia="仿宋" w:cs="仿宋"/>
          <w:sz w:val="32"/>
          <w:szCs w:val="32"/>
          <w:lang w:val="en-US" w:eastAsia="zh-CN"/>
        </w:rPr>
        <w:t>通知合作银行</w:t>
      </w:r>
      <w:r>
        <w:rPr>
          <w:rFonts w:hint="eastAsia" w:ascii="仿宋" w:hAnsi="仿宋" w:eastAsia="仿宋" w:cs="仿宋"/>
          <w:sz w:val="32"/>
          <w:szCs w:val="32"/>
        </w:rPr>
        <w:t>从市场参与</w:t>
      </w:r>
      <w:r>
        <w:rPr>
          <w:rFonts w:hint="eastAsia" w:ascii="仿宋" w:hAnsi="仿宋" w:eastAsia="仿宋" w:cs="仿宋"/>
          <w:sz w:val="32"/>
          <w:szCs w:val="32"/>
          <w:lang w:val="en-US" w:eastAsia="zh-CN"/>
        </w:rPr>
        <w:t>企业</w:t>
      </w:r>
      <w:r>
        <w:rPr>
          <w:rFonts w:hint="eastAsia" w:ascii="仿宋" w:hAnsi="仿宋" w:eastAsia="仿宋" w:cs="仿宋"/>
          <w:sz w:val="32"/>
          <w:szCs w:val="32"/>
        </w:rPr>
        <w:t>交易账户和</w:t>
      </w:r>
      <w:r>
        <w:rPr>
          <w:rFonts w:hint="eastAsia" w:ascii="仿宋" w:hAnsi="仿宋" w:eastAsia="仿宋" w:cs="仿宋"/>
          <w:sz w:val="32"/>
          <w:szCs w:val="32"/>
          <w:lang w:eastAsia="zh-CN"/>
        </w:rPr>
        <w:t>核算</w:t>
      </w:r>
      <w:r>
        <w:rPr>
          <w:rFonts w:hint="eastAsia" w:ascii="仿宋" w:hAnsi="仿宋" w:eastAsia="仿宋" w:cs="仿宋"/>
          <w:sz w:val="32"/>
          <w:szCs w:val="32"/>
        </w:rPr>
        <w:t>账户中扣划与非正常部分资金及相关盈利金额相等的资金或进行追偿。因扣划非正常部分资金及盈利导致市场参与者</w:t>
      </w:r>
      <w:r>
        <w:rPr>
          <w:rFonts w:hint="eastAsia" w:ascii="仿宋" w:hAnsi="仿宋" w:eastAsia="仿宋" w:cs="仿宋"/>
          <w:sz w:val="32"/>
          <w:szCs w:val="32"/>
          <w:lang w:val="en-US" w:eastAsia="zh-CN"/>
        </w:rPr>
        <w:t>发生</w:t>
      </w:r>
      <w:r>
        <w:rPr>
          <w:rFonts w:hint="eastAsia" w:ascii="仿宋" w:hAnsi="仿宋" w:eastAsia="仿宋" w:cs="仿宋"/>
          <w:sz w:val="32"/>
          <w:szCs w:val="32"/>
        </w:rPr>
        <w:t>资金变动以及被强行了结、交易无效等一切相关风险，交易所不承担任何责任。</w:t>
      </w:r>
    </w:p>
    <w:p w14:paraId="73D198D0">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第二十七条</w:t>
      </w:r>
      <w:r>
        <w:rPr>
          <w:rFonts w:hint="eastAsia" w:ascii="仿宋" w:hAnsi="仿宋" w:eastAsia="仿宋" w:cs="仿宋"/>
          <w:sz w:val="32"/>
          <w:szCs w:val="32"/>
        </w:rPr>
        <w:t xml:space="preserve">  由于各合作银行原因造成的资金差异给市场参与</w:t>
      </w:r>
      <w:r>
        <w:rPr>
          <w:rFonts w:hint="eastAsia" w:ascii="仿宋" w:hAnsi="仿宋" w:eastAsia="仿宋" w:cs="仿宋"/>
          <w:sz w:val="32"/>
          <w:szCs w:val="32"/>
          <w:lang w:val="en-US" w:eastAsia="zh-CN"/>
        </w:rPr>
        <w:t>企业</w:t>
      </w:r>
      <w:r>
        <w:rPr>
          <w:rFonts w:hint="eastAsia" w:ascii="仿宋" w:hAnsi="仿宋" w:eastAsia="仿宋" w:cs="仿宋"/>
          <w:sz w:val="32"/>
          <w:szCs w:val="32"/>
        </w:rPr>
        <w:t>带来损失，交易所不承担任何责任。</w:t>
      </w:r>
    </w:p>
    <w:p w14:paraId="3DFC991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第二十八条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对其在交易所达成的包括但不限于购销合同的业务结果，负有承担风险的责任。</w:t>
      </w:r>
    </w:p>
    <w:p w14:paraId="2939219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第二十九条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无法履约时，交易所有权采取下列保障措施：</w:t>
      </w:r>
    </w:p>
    <w:p w14:paraId="0D6BC685">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暂停业务；</w:t>
      </w:r>
    </w:p>
    <w:p w14:paraId="5FD52471">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通知合作银行</w:t>
      </w:r>
      <w:r>
        <w:rPr>
          <w:rFonts w:hint="eastAsia" w:ascii="仿宋" w:hAnsi="仿宋" w:eastAsia="仿宋" w:cs="仿宋"/>
          <w:sz w:val="32"/>
          <w:szCs w:val="32"/>
        </w:rPr>
        <w:t>限制出金；</w:t>
      </w:r>
    </w:p>
    <w:p w14:paraId="3DAE83EE">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3. 按规定执行强行了结，并用强行了结后释放的订金履</w:t>
      </w:r>
      <w:r>
        <w:rPr>
          <w:rFonts w:hint="eastAsia" w:ascii="仿宋" w:hAnsi="仿宋" w:eastAsia="仿宋" w:cs="仿宋"/>
          <w:sz w:val="32"/>
          <w:szCs w:val="32"/>
          <w:lang w:val="en-US" w:eastAsia="zh-CN"/>
        </w:rPr>
        <w:t>行赔付义务</w:t>
      </w:r>
      <w:r>
        <w:rPr>
          <w:rFonts w:hint="eastAsia" w:ascii="仿宋" w:hAnsi="仿宋" w:eastAsia="仿宋" w:cs="仿宋"/>
          <w:sz w:val="32"/>
          <w:szCs w:val="32"/>
        </w:rPr>
        <w:t>；</w:t>
      </w:r>
    </w:p>
    <w:p w14:paraId="7ECD4F11">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依法处置质押物；</w:t>
      </w:r>
    </w:p>
    <w:p w14:paraId="29805448">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 造成交易所损失的，有权依法追偿；</w:t>
      </w:r>
    </w:p>
    <w:p w14:paraId="041B8646">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6. </w:t>
      </w:r>
      <w:r>
        <w:rPr>
          <w:rFonts w:hint="eastAsia" w:ascii="仿宋" w:hAnsi="仿宋" w:eastAsia="仿宋" w:cs="仿宋"/>
          <w:sz w:val="32"/>
          <w:szCs w:val="32"/>
        </w:rPr>
        <w:t>交易所认为可以采用的其他方式</w:t>
      </w:r>
      <w:r>
        <w:rPr>
          <w:rFonts w:hint="eastAsia" w:ascii="仿宋" w:hAnsi="仿宋" w:eastAsia="仿宋" w:cs="仿宋"/>
          <w:sz w:val="32"/>
          <w:szCs w:val="32"/>
          <w:lang w:eastAsia="zh-CN"/>
        </w:rPr>
        <w:t>。</w:t>
      </w:r>
    </w:p>
    <w:p w14:paraId="6B1F2B1A">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第三十条</w:t>
      </w:r>
      <w:r>
        <w:rPr>
          <w:rFonts w:hint="eastAsia" w:ascii="仿宋" w:hAnsi="仿宋" w:eastAsia="仿宋" w:cs="仿宋"/>
          <w:sz w:val="32"/>
          <w:szCs w:val="32"/>
        </w:rPr>
        <w:t xml:space="preserve"> 如采取前条措施后</w:t>
      </w:r>
      <w:r>
        <w:rPr>
          <w:rFonts w:hint="eastAsia" w:ascii="仿宋" w:hAnsi="仿宋" w:eastAsia="仿宋" w:cs="仿宋"/>
          <w:sz w:val="32"/>
          <w:szCs w:val="32"/>
          <w:lang w:eastAsia="zh-CN"/>
        </w:rPr>
        <w:t>市场参与企业</w:t>
      </w:r>
      <w:r>
        <w:rPr>
          <w:rFonts w:hint="eastAsia" w:ascii="仿宋" w:hAnsi="仿宋" w:eastAsia="仿宋" w:cs="仿宋"/>
          <w:sz w:val="32"/>
          <w:szCs w:val="32"/>
        </w:rPr>
        <w:t>仍欠资金，交易所有 权依据本办法或其他业务规则规定或其他合同约定，要求其承担继续履</w:t>
      </w:r>
      <w:r>
        <w:rPr>
          <w:rFonts w:hint="eastAsia" w:ascii="仿宋" w:hAnsi="仿宋" w:eastAsia="仿宋" w:cs="仿宋"/>
          <w:sz w:val="32"/>
          <w:szCs w:val="32"/>
          <w:lang w:val="en-US" w:eastAsia="zh-CN"/>
        </w:rPr>
        <w:t>行合同义务</w:t>
      </w:r>
      <w:r>
        <w:rPr>
          <w:rFonts w:hint="eastAsia" w:ascii="仿宋" w:hAnsi="仿宋" w:eastAsia="仿宋" w:cs="仿宋"/>
          <w:sz w:val="32"/>
          <w:szCs w:val="32"/>
        </w:rPr>
        <w:t>或者支付违约金等违约责任。</w:t>
      </w:r>
    </w:p>
    <w:p w14:paraId="50161F4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val="en-US" w:eastAsia="en-US" w:bidi="ar-SA"/>
        </w:rPr>
        <w:t>第三十一条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市场参与企业</w:t>
      </w:r>
      <w:r>
        <w:rPr>
          <w:rFonts w:hint="eastAsia" w:ascii="仿宋" w:hAnsi="仿宋" w:eastAsia="仿宋" w:cs="仿宋"/>
          <w:sz w:val="32"/>
          <w:szCs w:val="32"/>
        </w:rPr>
        <w:t>有下列情形之一的，交易所可以</w:t>
      </w:r>
      <w:r>
        <w:rPr>
          <w:rFonts w:hint="eastAsia" w:ascii="仿宋" w:hAnsi="仿宋" w:eastAsia="仿宋" w:cs="仿宋"/>
          <w:sz w:val="32"/>
          <w:szCs w:val="32"/>
          <w:lang w:val="en-US" w:eastAsia="zh-CN"/>
        </w:rPr>
        <w:t>通知合作银行</w:t>
      </w:r>
      <w:r>
        <w:rPr>
          <w:rFonts w:hint="eastAsia" w:ascii="仿宋" w:hAnsi="仿宋" w:eastAsia="仿宋" w:cs="仿宋"/>
          <w:sz w:val="32"/>
          <w:szCs w:val="32"/>
        </w:rPr>
        <w:t>限制其出金：</w:t>
      </w:r>
    </w:p>
    <w:p w14:paraId="25C031EF">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1. 经交易所认定涉嫌存在重大违规行为或存在现货交易交收风险、资金风险的情况；</w:t>
      </w:r>
    </w:p>
    <w:p w14:paraId="4C2DB541">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2. 因投诉、举报、交易纠纷、经济纠纷等被司法</w:t>
      </w:r>
      <w:r>
        <w:rPr>
          <w:rFonts w:hint="eastAsia" w:ascii="仿宋" w:hAnsi="仿宋" w:eastAsia="仿宋" w:cs="仿宋"/>
          <w:sz w:val="32"/>
          <w:szCs w:val="32"/>
          <w:lang w:val="en-US" w:eastAsia="zh-CN"/>
        </w:rPr>
        <w:t>机关</w:t>
      </w:r>
      <w:r>
        <w:rPr>
          <w:rFonts w:hint="eastAsia" w:ascii="仿宋" w:hAnsi="仿宋" w:eastAsia="仿宋" w:cs="仿宋"/>
          <w:sz w:val="32"/>
          <w:szCs w:val="32"/>
          <w:lang w:eastAsia="zh-CN"/>
        </w:rPr>
        <w:t>、</w:t>
      </w:r>
      <w:r>
        <w:rPr>
          <w:rFonts w:hint="eastAsia" w:ascii="仿宋" w:hAnsi="仿宋" w:eastAsia="仿宋" w:cs="仿宋"/>
          <w:sz w:val="32"/>
          <w:szCs w:val="32"/>
        </w:rPr>
        <w:t>交易所或其他有关部门正式立案调查，且调查期间</w:t>
      </w:r>
      <w:r>
        <w:rPr>
          <w:rFonts w:hint="eastAsia" w:ascii="仿宋" w:hAnsi="仿宋" w:eastAsia="仿宋" w:cs="仿宋"/>
          <w:sz w:val="32"/>
          <w:szCs w:val="32"/>
          <w:lang w:val="en-US" w:eastAsia="zh-CN"/>
        </w:rPr>
        <w:t>尚未终结</w:t>
      </w:r>
      <w:r>
        <w:rPr>
          <w:rFonts w:hint="eastAsia" w:ascii="仿宋" w:hAnsi="仿宋" w:eastAsia="仿宋" w:cs="仿宋"/>
          <w:sz w:val="32"/>
          <w:szCs w:val="32"/>
        </w:rPr>
        <w:t>的</w:t>
      </w:r>
      <w:r>
        <w:rPr>
          <w:rFonts w:hint="eastAsia" w:ascii="仿宋" w:hAnsi="仿宋" w:eastAsia="仿宋" w:cs="仿宋"/>
          <w:sz w:val="32"/>
          <w:szCs w:val="32"/>
          <w:lang w:eastAsia="zh-CN"/>
        </w:rPr>
        <w:t>；</w:t>
      </w:r>
    </w:p>
    <w:p w14:paraId="51B2E342">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3. 司法</w:t>
      </w:r>
      <w:r>
        <w:rPr>
          <w:rFonts w:hint="eastAsia" w:ascii="仿宋" w:hAnsi="仿宋" w:eastAsia="仿宋" w:cs="仿宋"/>
          <w:sz w:val="32"/>
          <w:szCs w:val="32"/>
          <w:lang w:val="en-US" w:eastAsia="zh-CN"/>
        </w:rPr>
        <w:t>机关</w:t>
      </w:r>
      <w:r>
        <w:rPr>
          <w:rFonts w:hint="eastAsia" w:ascii="仿宋" w:hAnsi="仿宋" w:eastAsia="仿宋" w:cs="仿宋"/>
          <w:sz w:val="32"/>
          <w:szCs w:val="32"/>
        </w:rPr>
        <w:t>要求冻结</w:t>
      </w:r>
      <w:r>
        <w:rPr>
          <w:rFonts w:hint="eastAsia" w:ascii="仿宋" w:hAnsi="仿宋" w:eastAsia="仿宋" w:cs="仿宋"/>
          <w:sz w:val="32"/>
          <w:szCs w:val="32"/>
          <w:lang w:eastAsia="zh-CN"/>
        </w:rPr>
        <w:t>市场参与企业</w:t>
      </w:r>
      <w:r>
        <w:rPr>
          <w:rFonts w:hint="eastAsia" w:ascii="仿宋" w:hAnsi="仿宋" w:eastAsia="仿宋" w:cs="仿宋"/>
          <w:sz w:val="32"/>
          <w:szCs w:val="32"/>
        </w:rPr>
        <w:t>资金的；</w:t>
      </w:r>
    </w:p>
    <w:p w14:paraId="46BB93FA">
      <w:pPr>
        <w:keepNext w:val="0"/>
        <w:keepLines w:val="0"/>
        <w:pageBreakBefore w:val="0"/>
        <w:widowControl/>
        <w:kinsoku w:val="0"/>
        <w:wordWrap/>
        <w:overflowPunct/>
        <w:topLinePunct w:val="0"/>
        <w:autoSpaceDE w:val="0"/>
        <w:autoSpaceDN w:val="0"/>
        <w:bidi w:val="0"/>
        <w:adjustRightInd w:val="0"/>
        <w:snapToGrid w:val="0"/>
        <w:spacing w:line="560" w:lineRule="exact"/>
        <w:ind w:left="420" w:leftChars="200" w:right="420" w:rightChars="200"/>
        <w:jc w:val="both"/>
        <w:textAlignment w:val="baseline"/>
        <w:rPr>
          <w:rFonts w:hint="eastAsia" w:ascii="仿宋" w:hAnsi="仿宋" w:eastAsia="仿宋" w:cs="仿宋"/>
          <w:sz w:val="32"/>
          <w:szCs w:val="32"/>
        </w:rPr>
      </w:pPr>
      <w:r>
        <w:rPr>
          <w:rFonts w:hint="eastAsia" w:ascii="仿宋" w:hAnsi="仿宋" w:eastAsia="仿宋" w:cs="仿宋"/>
          <w:sz w:val="32"/>
          <w:szCs w:val="32"/>
        </w:rPr>
        <w:t>4. 交易所认为必要的其他情</w:t>
      </w:r>
      <w:r>
        <w:rPr>
          <w:rFonts w:hint="eastAsia" w:ascii="仿宋" w:hAnsi="仿宋" w:eastAsia="仿宋" w:cs="仿宋"/>
          <w:sz w:val="32"/>
          <w:szCs w:val="32"/>
          <w:lang w:val="en-US" w:eastAsia="zh-CN"/>
        </w:rPr>
        <w:t>形</w:t>
      </w:r>
      <w:r>
        <w:rPr>
          <w:rFonts w:hint="eastAsia" w:ascii="仿宋" w:hAnsi="仿宋" w:eastAsia="仿宋" w:cs="仿宋"/>
          <w:sz w:val="32"/>
          <w:szCs w:val="32"/>
        </w:rPr>
        <w:t>。</w:t>
      </w:r>
    </w:p>
    <w:p w14:paraId="1116D73C">
      <w:pPr>
        <w:jc w:val="both"/>
        <w:rPr>
          <w:rFonts w:hint="eastAsia" w:ascii="黑体" w:hAnsi="黑体" w:eastAsia="黑体" w:cs="黑体"/>
          <w:sz w:val="32"/>
          <w:szCs w:val="32"/>
        </w:rPr>
      </w:pPr>
    </w:p>
    <w:p w14:paraId="4810F3E7">
      <w:pPr>
        <w:numPr>
          <w:ilvl w:val="0"/>
          <w:numId w:val="3"/>
        </w:numPr>
        <w:ind w:left="0" w:leftChars="0" w:firstLine="0" w:firstLineChars="0"/>
        <w:jc w:val="center"/>
        <w:outlineLvl w:val="0"/>
        <w:rPr>
          <w:rFonts w:hint="eastAsia" w:ascii="黑体" w:hAnsi="黑体" w:eastAsia="黑体" w:cs="黑体"/>
          <w:sz w:val="32"/>
          <w:szCs w:val="32"/>
        </w:rPr>
      </w:pPr>
      <w:bookmarkStart w:id="26" w:name="_Toc13202"/>
      <w:r>
        <w:rPr>
          <w:rFonts w:hint="eastAsia" w:ascii="黑体" w:hAnsi="黑体" w:eastAsia="黑体" w:cs="黑体"/>
          <w:sz w:val="32"/>
          <w:szCs w:val="32"/>
        </w:rPr>
        <w:t>附则</w:t>
      </w:r>
      <w:bookmarkEnd w:id="26"/>
    </w:p>
    <w:p w14:paraId="76AF2CDC">
      <w:pPr>
        <w:numPr>
          <w:ilvl w:val="0"/>
          <w:numId w:val="0"/>
        </w:numPr>
        <w:ind w:leftChars="0"/>
        <w:jc w:val="both"/>
        <w:rPr>
          <w:rFonts w:hint="eastAsia" w:ascii="黑体" w:hAnsi="黑体" w:eastAsia="黑体" w:cs="黑体"/>
          <w:sz w:val="32"/>
          <w:szCs w:val="32"/>
        </w:rPr>
      </w:pPr>
    </w:p>
    <w:p w14:paraId="5FEB7E4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 w:hAnsi="楷体" w:eastAsia="楷体" w:cs="楷体"/>
          <w:b/>
          <w:bCs/>
          <w:snapToGrid w:val="0"/>
          <w:color w:val="000000"/>
          <w:kern w:val="0"/>
          <w:sz w:val="32"/>
          <w:szCs w:val="32"/>
          <w:lang w:val="en-US" w:eastAsia="zh-CN" w:bidi="ar-SA"/>
        </w:rPr>
        <w:t>第三十二条</w:t>
      </w:r>
      <w:r>
        <w:rPr>
          <w:rFonts w:hint="eastAsia" w:ascii="仿宋" w:hAnsi="仿宋" w:eastAsia="仿宋" w:cs="仿宋"/>
          <w:sz w:val="32"/>
          <w:szCs w:val="32"/>
          <w:lang w:val="en-US" w:eastAsia="zh-CN"/>
        </w:rPr>
        <w:t xml:space="preserve"> 本规则由天津国际电子商品交易有限公司制定、修改并解释。</w:t>
      </w:r>
    </w:p>
    <w:p w14:paraId="736C984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lang w:val="en-US" w:eastAsia="zh-CN"/>
        </w:rPr>
      </w:pPr>
      <w:r>
        <w:rPr>
          <w:rFonts w:hint="eastAsia" w:ascii="楷体" w:hAnsi="楷体" w:eastAsia="楷体" w:cs="楷体"/>
          <w:b/>
          <w:bCs/>
          <w:snapToGrid w:val="0"/>
          <w:color w:val="000000"/>
          <w:kern w:val="0"/>
          <w:sz w:val="32"/>
          <w:szCs w:val="32"/>
          <w:lang w:val="en-US" w:eastAsia="zh-CN" w:bidi="ar-SA"/>
        </w:rPr>
        <w:t>第三十三条</w:t>
      </w:r>
      <w:r>
        <w:rPr>
          <w:rFonts w:hint="eastAsia" w:ascii="仿宋" w:hAnsi="仿宋" w:eastAsia="仿宋" w:cs="仿宋"/>
          <w:sz w:val="32"/>
          <w:szCs w:val="32"/>
          <w:lang w:val="en-US" w:eastAsia="zh-CN"/>
        </w:rPr>
        <w:t xml:space="preserve"> 交易所有权根据本规则制定相应的业务指引及流程。</w:t>
      </w:r>
    </w:p>
    <w:p w14:paraId="5461A1F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 w:hAnsi="仿宋" w:eastAsia="仿宋" w:cs="仿宋"/>
          <w:sz w:val="32"/>
          <w:szCs w:val="32"/>
          <w:lang w:val="en-US" w:eastAsia="zh-CN"/>
        </w:rPr>
      </w:pPr>
      <w:r>
        <w:rPr>
          <w:rFonts w:hint="eastAsia" w:ascii="楷体" w:hAnsi="楷体" w:eastAsia="楷体" w:cs="楷体"/>
          <w:b/>
          <w:bCs/>
          <w:snapToGrid w:val="0"/>
          <w:color w:val="000000"/>
          <w:kern w:val="0"/>
          <w:sz w:val="32"/>
          <w:szCs w:val="32"/>
          <w:lang w:val="en-US" w:eastAsia="zh-CN" w:bidi="ar-SA"/>
        </w:rPr>
        <w:t>第三十四条</w:t>
      </w:r>
      <w:r>
        <w:rPr>
          <w:rFonts w:hint="eastAsia" w:ascii="仿宋" w:hAnsi="仿宋" w:eastAsia="仿宋" w:cs="仿宋"/>
          <w:sz w:val="32"/>
          <w:szCs w:val="32"/>
          <w:lang w:val="en-US" w:eastAsia="zh-CN"/>
        </w:rPr>
        <w:t xml:space="preserve"> 本规则自颁布之日起施行。</w:t>
      </w:r>
    </w:p>
    <w:p w14:paraId="270D2BA9">
      <w:pPr>
        <w:jc w:val="both"/>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DFFF0">
    <w:pPr>
      <w:spacing w:line="182" w:lineRule="auto"/>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E233F">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E233F">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8C31"/>
    <w:multiLevelType w:val="singleLevel"/>
    <w:tmpl w:val="E0C78C31"/>
    <w:lvl w:ilvl="0" w:tentative="0">
      <w:start w:val="5"/>
      <w:numFmt w:val="chineseCounting"/>
      <w:suff w:val="space"/>
      <w:lvlText w:val="第%1章"/>
      <w:lvlJc w:val="left"/>
      <w:rPr>
        <w:rFonts w:hint="eastAsia"/>
      </w:rPr>
    </w:lvl>
  </w:abstractNum>
  <w:abstractNum w:abstractNumId="1">
    <w:nsid w:val="783C453E"/>
    <w:multiLevelType w:val="singleLevel"/>
    <w:tmpl w:val="783C453E"/>
    <w:lvl w:ilvl="0" w:tentative="0">
      <w:start w:val="6"/>
      <w:numFmt w:val="chineseCounting"/>
      <w:suff w:val="space"/>
      <w:lvlText w:val="第%1章"/>
      <w:lvlJc w:val="left"/>
      <w:rPr>
        <w:rFonts w:hint="eastAsia"/>
      </w:rPr>
    </w:lvl>
  </w:abstractNum>
  <w:abstractNum w:abstractNumId="2">
    <w:nsid w:val="7A824B2D"/>
    <w:multiLevelType w:val="singleLevel"/>
    <w:tmpl w:val="7A824B2D"/>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52CF32F7"/>
    <w:rsid w:val="012C5102"/>
    <w:rsid w:val="04137DFA"/>
    <w:rsid w:val="049716A3"/>
    <w:rsid w:val="0B66687E"/>
    <w:rsid w:val="0D1A2F49"/>
    <w:rsid w:val="0ED65CAC"/>
    <w:rsid w:val="12244F80"/>
    <w:rsid w:val="1BA7556B"/>
    <w:rsid w:val="1D4754B0"/>
    <w:rsid w:val="1D4F7287"/>
    <w:rsid w:val="229B128E"/>
    <w:rsid w:val="28E31299"/>
    <w:rsid w:val="29C560F4"/>
    <w:rsid w:val="2B797C93"/>
    <w:rsid w:val="2D297497"/>
    <w:rsid w:val="30B27B2B"/>
    <w:rsid w:val="31FB7654"/>
    <w:rsid w:val="32025C01"/>
    <w:rsid w:val="32C71C2C"/>
    <w:rsid w:val="33B158EA"/>
    <w:rsid w:val="363A6674"/>
    <w:rsid w:val="3AAF1923"/>
    <w:rsid w:val="3ADD023E"/>
    <w:rsid w:val="3C641ADC"/>
    <w:rsid w:val="47220315"/>
    <w:rsid w:val="4AAC1365"/>
    <w:rsid w:val="51612EC8"/>
    <w:rsid w:val="52CF32F7"/>
    <w:rsid w:val="58F967FE"/>
    <w:rsid w:val="590829AE"/>
    <w:rsid w:val="5B9715C7"/>
    <w:rsid w:val="5FF94923"/>
    <w:rsid w:val="64255857"/>
    <w:rsid w:val="65FE481A"/>
    <w:rsid w:val="67D946F3"/>
    <w:rsid w:val="6B601BE1"/>
    <w:rsid w:val="74D72C6A"/>
    <w:rsid w:val="7557169C"/>
    <w:rsid w:val="75C64E50"/>
    <w:rsid w:val="79753862"/>
    <w:rsid w:val="7C960597"/>
    <w:rsid w:val="7F4C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WPSOffice手动目录 1"/>
    <w:uiPriority w:val="0"/>
    <w:pPr>
      <w:ind w:leftChars="0"/>
    </w:pPr>
    <w:rPr>
      <w:rFonts w:asciiTheme="minorHAnsi" w:hAnsiTheme="minorHAnsi" w:eastAsiaTheme="minorEastAsia" w:cstheme="minorBidi"/>
      <w:sz w:val="20"/>
      <w:szCs w:val="20"/>
    </w:rPr>
  </w:style>
  <w:style w:type="paragraph" w:customStyle="1" w:styleId="7">
    <w:name w:val="WPSOffice手动目录 2"/>
    <w:qFormat/>
    <w:uiPriority w:val="0"/>
    <w:pPr>
      <w:ind w:leftChars="200"/>
    </w:pPr>
    <w:rPr>
      <w:rFonts w:asciiTheme="minorHAnsi" w:hAnsiTheme="minorHAnsi" w:eastAsiaTheme="minorEastAsia" w:cstheme="minorBidi"/>
      <w:sz w:val="20"/>
      <w:szCs w:val="20"/>
    </w:rPr>
  </w:style>
  <w:style w:type="paragraph" w:customStyle="1" w:styleId="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3781</Words>
  <Characters>3839</Characters>
  <Lines>0</Lines>
  <Paragraphs>0</Paragraphs>
  <TotalTime>14</TotalTime>
  <ScaleCrop>false</ScaleCrop>
  <LinksUpToDate>false</LinksUpToDate>
  <CharactersWithSpaces>3994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2024-06-18T13:19:00Z</dcterms:created>
  <dc:creator>努力站桩的奶酪</dc:creator>
  <cp:lastModifiedBy>天交所</cp:lastModifiedBy>
  <dcterms:modified xsi:type="dcterms:W3CDTF">2026-04-10T06:46:51Z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04819C38CD474791B3A39F320DBF1588_11</vt:lpwstr>
  </property>
  <property fmtid="{D5CDD505-2E9C-101B-9397-08002B2CF9AE}" pid="4" name="KSOTemplateDocerSaveRecord">
    <vt:lpwstr>eyJoZGlkIjoiNzlkN2FiOThlZDNjZTg0MDY3NzIzMzRlNTg5NDY0ZmUiLCJ1c2VySWQiOiIxNjUyMDQxNDk1In0=</vt:lpwstr>
  </property>
</Properties>
</file>