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4C902">
      <w:pPr>
        <w:jc w:val="center"/>
        <w:rPr>
          <w:rFonts w:hint="eastAsia" w:ascii="宋体" w:hAnsi="宋体" w:eastAsia="宋体" w:cs="宋体"/>
          <w:b/>
          <w:bCs/>
          <w:sz w:val="44"/>
          <w:szCs w:val="44"/>
        </w:rPr>
      </w:pPr>
      <w:bookmarkStart w:id="0" w:name="_Toc8606"/>
    </w:p>
    <w:p w14:paraId="1CFF8F58">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天津国际电子商品交易有限公司</w:t>
      </w:r>
    </w:p>
    <w:p w14:paraId="467684BA">
      <w:pPr>
        <w:jc w:val="center"/>
        <w:rPr>
          <w:rFonts w:hint="eastAsia" w:ascii="宋体" w:hAnsi="宋体" w:eastAsia="宋体" w:cs="宋体"/>
          <w:b/>
          <w:bCs/>
          <w:sz w:val="44"/>
          <w:szCs w:val="44"/>
        </w:rPr>
      </w:pPr>
      <w:r>
        <w:rPr>
          <w:rFonts w:hint="eastAsia" w:ascii="宋体" w:hAnsi="宋体" w:eastAsia="宋体" w:cs="宋体"/>
          <w:b/>
          <w:bCs/>
          <w:sz w:val="44"/>
          <w:szCs w:val="44"/>
        </w:rPr>
        <w:t>风险准备金管理办法</w:t>
      </w:r>
      <w:bookmarkEnd w:id="0"/>
    </w:p>
    <w:p w14:paraId="48E4AA4F">
      <w:pPr>
        <w:pStyle w:val="2"/>
        <w:spacing w:before="249" w:line="212" w:lineRule="auto"/>
        <w:ind w:left="4431"/>
        <w:rPr>
          <w:rFonts w:hint="eastAsia" w:ascii="宋体" w:hAnsi="宋体" w:eastAsia="宋体" w:cs="宋体"/>
          <w:sz w:val="32"/>
          <w:szCs w:val="32"/>
        </w:rPr>
      </w:pPr>
      <w:r>
        <w:rPr>
          <w:rFonts w:hint="eastAsia" w:ascii="宋体" w:hAnsi="宋体" w:eastAsia="宋体" w:cs="宋体"/>
          <w:spacing w:val="2"/>
          <w:sz w:val="32"/>
          <w:szCs w:val="32"/>
        </w:rPr>
        <w:t>(</w:t>
      </w:r>
      <w:r>
        <w:rPr>
          <w:rFonts w:hint="eastAsia" w:ascii="宋体" w:hAnsi="宋体" w:eastAsia="宋体" w:cs="宋体"/>
          <w:spacing w:val="2"/>
          <w:sz w:val="32"/>
          <w:szCs w:val="32"/>
          <w:lang w:val="en-US" w:eastAsia="zh-CN"/>
        </w:rPr>
        <w:t>试</w:t>
      </w:r>
      <w:r>
        <w:rPr>
          <w:rFonts w:hint="eastAsia" w:ascii="宋体" w:hAnsi="宋体" w:eastAsia="宋体" w:cs="宋体"/>
          <w:spacing w:val="2"/>
          <w:sz w:val="32"/>
          <w:szCs w:val="32"/>
        </w:rPr>
        <w:t>行)</w:t>
      </w:r>
    </w:p>
    <w:p w14:paraId="4A2076E0">
      <w:pPr>
        <w:spacing w:line="317" w:lineRule="auto"/>
        <w:rPr>
          <w:rFonts w:ascii="Arial"/>
          <w:sz w:val="21"/>
        </w:rPr>
      </w:pPr>
    </w:p>
    <w:p w14:paraId="567B40AF">
      <w:pPr>
        <w:spacing w:line="318" w:lineRule="auto"/>
        <w:rPr>
          <w:rFonts w:ascii="Arial"/>
          <w:sz w:val="21"/>
        </w:rPr>
      </w:pPr>
    </w:p>
    <w:sdt>
      <w:sdtPr>
        <w:rPr>
          <w:rFonts w:ascii="宋体" w:hAnsi="宋体" w:eastAsia="宋体" w:cstheme="minorBidi"/>
          <w:kern w:val="2"/>
          <w:sz w:val="21"/>
          <w:szCs w:val="24"/>
          <w:lang w:val="en-US" w:eastAsia="zh-CN" w:bidi="ar-SA"/>
        </w:rPr>
        <w:id w:val="147465491"/>
        <w15:color w:val="DBDBDB"/>
        <w:docPartObj>
          <w:docPartGallery w:val="Table of Contents"/>
          <w:docPartUnique/>
        </w:docPartObj>
      </w:sdtPr>
      <w:sdtEndPr>
        <w:rPr>
          <w:rFonts w:ascii="Times New Roman" w:hAnsi="Times New Roman" w:eastAsia="Times New Roman" w:cs="Times New Roman"/>
          <w:kern w:val="2"/>
          <w:sz w:val="24"/>
          <w:szCs w:val="24"/>
          <w:lang w:val="en-US" w:eastAsia="zh-CN" w:bidi="ar-SA"/>
        </w:rPr>
      </w:sdtEndPr>
      <w:sdtContent>
        <w:p w14:paraId="17FF4123">
          <w:pPr>
            <w:spacing w:before="0" w:beforeLines="0" w:after="0" w:afterLines="0" w:line="240" w:lineRule="auto"/>
            <w:ind w:left="0" w:leftChars="0" w:right="0" w:rightChars="0" w:firstLine="0" w:firstLineChars="0"/>
            <w:jc w:val="center"/>
          </w:pPr>
        </w:p>
        <w:p w14:paraId="7926F9ED">
          <w:pPr>
            <w:pStyle w:val="6"/>
            <w:tabs>
              <w:tab w:val="right" w:leader="dot" w:pos="9267"/>
            </w:tabs>
            <w:rPr>
              <w:sz w:val="24"/>
              <w:szCs w:val="24"/>
            </w:rPr>
          </w:pP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TOC \o "1-3" \h \u </w:instrText>
          </w:r>
          <w:r>
            <w:rPr>
              <w:rFonts w:ascii="Times New Roman" w:hAnsi="Times New Roman" w:eastAsia="Times New Roman" w:cs="Times New Roman"/>
              <w:sz w:val="24"/>
              <w:szCs w:val="24"/>
            </w:rPr>
            <w:fldChar w:fldCharType="separate"/>
          </w:r>
        </w:p>
        <w:p w14:paraId="3B3C0A37">
          <w:pPr>
            <w:pStyle w:val="6"/>
            <w:tabs>
              <w:tab w:val="right" w:leader="dot" w:pos="9267"/>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_Toc13818 </w:instrText>
          </w:r>
          <w:r>
            <w:rPr>
              <w:rFonts w:hint="eastAsia" w:ascii="仿宋" w:hAnsi="仿宋" w:eastAsia="仿宋" w:cs="仿宋"/>
              <w:sz w:val="24"/>
              <w:szCs w:val="24"/>
            </w:rPr>
            <w:fldChar w:fldCharType="separate"/>
          </w:r>
          <w:r>
            <w:rPr>
              <w:rFonts w:hint="eastAsia" w:ascii="仿宋" w:hAnsi="仿宋" w:eastAsia="仿宋" w:cs="仿宋"/>
              <w:sz w:val="24"/>
              <w:szCs w:val="24"/>
            </w:rPr>
            <w:t>第 一 章  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_Toc13818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FEFD871">
          <w:pPr>
            <w:pStyle w:val="6"/>
            <w:tabs>
              <w:tab w:val="right" w:leader="dot" w:pos="9267"/>
            </w:tabs>
            <w:rPr>
              <w:rFonts w:hint="eastAsia" w:ascii="仿宋" w:hAnsi="仿宋" w:eastAsia="仿宋" w:cs="仿宋"/>
              <w:sz w:val="24"/>
              <w:szCs w:val="24"/>
            </w:rPr>
          </w:pPr>
        </w:p>
        <w:p w14:paraId="7B6F988C">
          <w:pPr>
            <w:pStyle w:val="6"/>
            <w:tabs>
              <w:tab w:val="right" w:leader="dot" w:pos="9267"/>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_Toc23872 </w:instrText>
          </w:r>
          <w:r>
            <w:rPr>
              <w:rFonts w:hint="eastAsia" w:ascii="仿宋" w:hAnsi="仿宋" w:eastAsia="仿宋" w:cs="仿宋"/>
              <w:sz w:val="24"/>
              <w:szCs w:val="24"/>
            </w:rPr>
            <w:fldChar w:fldCharType="separate"/>
          </w:r>
          <w:r>
            <w:rPr>
              <w:rFonts w:hint="eastAsia" w:ascii="仿宋" w:hAnsi="仿宋" w:eastAsia="仿宋" w:cs="仿宋"/>
              <w:sz w:val="24"/>
              <w:szCs w:val="24"/>
            </w:rPr>
            <w:t>第二章 风险准备金制度的意义和作用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_Toc23872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11FDC78">
          <w:pPr>
            <w:pStyle w:val="6"/>
            <w:tabs>
              <w:tab w:val="right" w:leader="dot" w:pos="9267"/>
            </w:tabs>
            <w:rPr>
              <w:rFonts w:hint="eastAsia" w:ascii="仿宋" w:hAnsi="仿宋" w:eastAsia="仿宋" w:cs="仿宋"/>
              <w:sz w:val="24"/>
              <w:szCs w:val="24"/>
            </w:rPr>
          </w:pPr>
        </w:p>
        <w:p w14:paraId="615147A2">
          <w:pPr>
            <w:pStyle w:val="6"/>
            <w:tabs>
              <w:tab w:val="right" w:leader="dot" w:pos="9267"/>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_Toc18848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  风险准备金的存管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_Toc18848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63C908D">
          <w:pPr>
            <w:pStyle w:val="6"/>
            <w:tabs>
              <w:tab w:val="right" w:leader="dot" w:pos="9267"/>
            </w:tabs>
            <w:rPr>
              <w:rFonts w:hint="eastAsia" w:ascii="仿宋" w:hAnsi="仿宋" w:eastAsia="仿宋" w:cs="仿宋"/>
              <w:sz w:val="24"/>
              <w:szCs w:val="24"/>
            </w:rPr>
          </w:pPr>
        </w:p>
        <w:p w14:paraId="23F3AD02">
          <w:pPr>
            <w:pStyle w:val="6"/>
            <w:tabs>
              <w:tab w:val="right" w:leader="dot" w:pos="9267"/>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_Toc5590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  风险准备金的筹集原则和来源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_Toc5590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396B42B">
          <w:pPr>
            <w:pStyle w:val="6"/>
            <w:tabs>
              <w:tab w:val="right" w:leader="dot" w:pos="9267"/>
            </w:tabs>
            <w:rPr>
              <w:rFonts w:hint="eastAsia" w:ascii="仿宋" w:hAnsi="仿宋" w:eastAsia="仿宋" w:cs="仿宋"/>
              <w:sz w:val="24"/>
              <w:szCs w:val="24"/>
            </w:rPr>
          </w:pPr>
        </w:p>
        <w:p w14:paraId="78F215E7">
          <w:pPr>
            <w:pStyle w:val="6"/>
            <w:tabs>
              <w:tab w:val="right" w:leader="dot" w:pos="9267"/>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_Toc18466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 xml:space="preserve">第五章 </w:t>
          </w:r>
          <w:r>
            <w:rPr>
              <w:rFonts w:hint="eastAsia" w:ascii="仿宋" w:hAnsi="仿宋" w:eastAsia="仿宋" w:cs="仿宋"/>
              <w:sz w:val="24"/>
              <w:szCs w:val="24"/>
            </w:rPr>
            <w:t>风险准备金的使用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_Toc18466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F23160F">
          <w:pPr>
            <w:pStyle w:val="6"/>
            <w:tabs>
              <w:tab w:val="right" w:leader="dot" w:pos="9267"/>
            </w:tabs>
            <w:rPr>
              <w:rFonts w:hint="eastAsia" w:ascii="仿宋" w:hAnsi="仿宋" w:eastAsia="仿宋" w:cs="仿宋"/>
              <w:sz w:val="24"/>
              <w:szCs w:val="24"/>
            </w:rPr>
          </w:pPr>
        </w:p>
        <w:p w14:paraId="7803AAC1">
          <w:pPr>
            <w:pStyle w:val="6"/>
            <w:tabs>
              <w:tab w:val="right" w:leader="dot" w:pos="9267"/>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_Toc22152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第六章  风险准备金的监督和管理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_Toc22152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C602E10">
          <w:pPr>
            <w:pStyle w:val="6"/>
            <w:tabs>
              <w:tab w:val="right" w:leader="dot" w:pos="9267"/>
            </w:tabs>
            <w:rPr>
              <w:rFonts w:hint="eastAsia" w:ascii="仿宋" w:hAnsi="仿宋" w:eastAsia="仿宋" w:cs="仿宋"/>
              <w:sz w:val="24"/>
              <w:szCs w:val="24"/>
            </w:rPr>
          </w:pPr>
        </w:p>
        <w:p w14:paraId="43B307DA">
          <w:pPr>
            <w:pStyle w:val="6"/>
            <w:tabs>
              <w:tab w:val="right" w:leader="dot" w:pos="9267"/>
            </w:tabs>
            <w:rPr>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_Toc11058 </w:instrText>
          </w:r>
          <w:r>
            <w:rPr>
              <w:rFonts w:hint="eastAsia" w:ascii="仿宋" w:hAnsi="仿宋" w:eastAsia="仿宋" w:cs="仿宋"/>
              <w:sz w:val="24"/>
              <w:szCs w:val="24"/>
            </w:rPr>
            <w:fldChar w:fldCharType="separate"/>
          </w:r>
          <w:r>
            <w:rPr>
              <w:rFonts w:hint="eastAsia" w:ascii="仿宋" w:hAnsi="仿宋" w:eastAsia="仿宋" w:cs="仿宋"/>
              <w:sz w:val="24"/>
              <w:szCs w:val="24"/>
            </w:rPr>
            <w:t>第七章  附则</w:t>
          </w:r>
          <w:r>
            <w:rPr>
              <w:rFonts w:hint="eastAsia" w:ascii="仿宋" w:hAnsi="仿宋" w:eastAsia="仿宋" w:cs="仿宋"/>
              <w:sz w:val="24"/>
              <w:szCs w:val="24"/>
            </w:rPr>
            <w:tab/>
          </w:r>
          <w:r>
            <w:rPr>
              <w:rFonts w:hint="eastAsia" w:ascii="仿宋" w:hAnsi="仿宋" w:eastAsia="仿宋" w:cs="仿宋"/>
              <w:sz w:val="24"/>
              <w:szCs w:val="24"/>
              <w:lang w:val="en-US" w:eastAsia="zh-CN"/>
            </w:rPr>
            <w:t>7</w:t>
          </w:r>
          <w:r>
            <w:rPr>
              <w:rFonts w:hint="eastAsia" w:ascii="仿宋" w:hAnsi="仿宋" w:eastAsia="仿宋" w:cs="仿宋"/>
              <w:sz w:val="24"/>
              <w:szCs w:val="24"/>
            </w:rPr>
            <w:fldChar w:fldCharType="end"/>
          </w:r>
        </w:p>
        <w:p w14:paraId="6D126EBE">
          <w:pPr>
            <w:spacing w:line="222" w:lineRule="auto"/>
            <w:rPr>
              <w:rFonts w:ascii="Times New Roman" w:hAnsi="Times New Roman" w:eastAsia="Times New Roman" w:cs="Times New Roman"/>
              <w:sz w:val="24"/>
              <w:szCs w:val="24"/>
            </w:rPr>
            <w:sectPr>
              <w:footerReference r:id="rId3" w:type="default"/>
              <w:pgSz w:w="12300" w:h="17300"/>
              <w:pgMar w:top="958" w:right="1845" w:bottom="1397" w:left="1188" w:header="0" w:footer="1195" w:gutter="0"/>
              <w:pgNumType w:fmt="decimal"/>
              <w:cols w:space="720" w:num="1"/>
            </w:sectPr>
          </w:pPr>
          <w:r>
            <w:rPr>
              <w:rFonts w:ascii="Times New Roman" w:hAnsi="Times New Roman" w:eastAsia="Times New Roman" w:cs="Times New Roman"/>
              <w:sz w:val="24"/>
              <w:szCs w:val="24"/>
            </w:rPr>
            <w:fldChar w:fldCharType="end"/>
          </w:r>
        </w:p>
      </w:sdtContent>
    </w:sdt>
    <w:p w14:paraId="7B6C9425">
      <w:pPr>
        <w:jc w:val="center"/>
        <w:outlineLvl w:val="0"/>
        <w:rPr>
          <w:rFonts w:hint="eastAsia" w:ascii="黑体" w:hAnsi="黑体" w:eastAsia="黑体" w:cs="黑体"/>
          <w:sz w:val="32"/>
          <w:szCs w:val="32"/>
        </w:rPr>
      </w:pPr>
      <w:bookmarkStart w:id="1" w:name="_Toc13818"/>
      <w:r>
        <w:rPr>
          <w:rFonts w:hint="eastAsia" w:ascii="黑体" w:hAnsi="黑体" w:eastAsia="黑体" w:cs="黑体"/>
          <w:sz w:val="32"/>
          <w:szCs w:val="32"/>
        </w:rPr>
        <w:t>第 一 章  总则</w:t>
      </w:r>
      <w:bookmarkEnd w:id="1"/>
    </w:p>
    <w:p w14:paraId="492BFC66">
      <w:pPr>
        <w:rPr>
          <w:rFonts w:hint="eastAsia"/>
        </w:rPr>
      </w:pPr>
    </w:p>
    <w:p w14:paraId="094834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第一条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为规范</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(以下简称“交易所”)市场交易的行为，维护正常交易秩序，保障参与各方的合法权益，根据国家有关法律、法规制定本管理办法。</w:t>
      </w:r>
    </w:p>
    <w:p w14:paraId="5742BB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交易所风险准备金的使用和管理遵循公开、合理、有序、有效的原则。</w:t>
      </w:r>
    </w:p>
    <w:p w14:paraId="13D174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第三条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交易所的风险准备金专用账户的管理与使用接受天津市监管部门的监督管理。</w:t>
      </w:r>
    </w:p>
    <w:p w14:paraId="2636B2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 w:hAnsi="仿宋" w:eastAsia="仿宋" w:cs="仿宋"/>
          <w:sz w:val="32"/>
          <w:szCs w:val="32"/>
        </w:rPr>
      </w:pPr>
      <w:bookmarkStart w:id="2" w:name="_Toc13085"/>
      <w:r>
        <w:rPr>
          <w:rFonts w:hint="eastAsia" w:ascii="楷体" w:hAnsi="楷体" w:eastAsia="楷体" w:cs="楷体"/>
          <w:b/>
          <w:bCs/>
          <w:sz w:val="32"/>
          <w:szCs w:val="32"/>
        </w:rPr>
        <w:t xml:space="preserve">第四条 </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本办法适用于交易所风险准备金的管理与使用。</w:t>
      </w:r>
      <w:bookmarkEnd w:id="2"/>
    </w:p>
    <w:p w14:paraId="3CB701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8DD401D">
      <w:pPr>
        <w:jc w:val="center"/>
        <w:outlineLvl w:val="0"/>
        <w:rPr>
          <w:rFonts w:hint="eastAsia" w:ascii="黑体" w:hAnsi="黑体" w:eastAsia="黑体" w:cs="黑体"/>
          <w:sz w:val="32"/>
          <w:szCs w:val="32"/>
        </w:rPr>
      </w:pPr>
      <w:bookmarkStart w:id="3" w:name="_Toc23872"/>
      <w:r>
        <w:rPr>
          <w:rFonts w:hint="eastAsia" w:ascii="黑体" w:hAnsi="黑体" w:eastAsia="黑体" w:cs="黑体"/>
          <w:sz w:val="32"/>
          <w:szCs w:val="32"/>
        </w:rPr>
        <w:t>第二章 风险准备金制度的意义和作用</w:t>
      </w:r>
      <w:bookmarkEnd w:id="3"/>
    </w:p>
    <w:p w14:paraId="31634E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E21FD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第五条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风险准备金是指按照本办法的规定，由交易所提前准备的用于</w:t>
      </w:r>
      <w:r>
        <w:rPr>
          <w:rFonts w:hint="eastAsia" w:ascii="仿宋" w:hAnsi="仿宋" w:eastAsia="仿宋" w:cs="仿宋"/>
          <w:sz w:val="32"/>
          <w:szCs w:val="32"/>
          <w:lang w:val="en-US" w:eastAsia="zh-CN"/>
        </w:rPr>
        <w:t>防范和</w:t>
      </w:r>
      <w:r>
        <w:rPr>
          <w:rFonts w:hint="eastAsia" w:ascii="仿宋" w:hAnsi="仿宋" w:eastAsia="仿宋" w:cs="仿宋"/>
          <w:sz w:val="32"/>
          <w:szCs w:val="32"/>
        </w:rPr>
        <w:t>化解市场可能发生的系统性风险以及其他不可预见风险而设立的专项储备资金。</w:t>
      </w:r>
    </w:p>
    <w:p w14:paraId="4FADAA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 xml:space="preserve">第六条 </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市场参与企业在交易过程中因市场波动或者品种价值本身发生变化所导致的损失，由其自行负担。</w:t>
      </w:r>
    </w:p>
    <w:p w14:paraId="32E85B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第七条</w:t>
      </w:r>
      <w:r>
        <w:rPr>
          <w:rFonts w:hint="eastAsia" w:ascii="仿宋" w:hAnsi="仿宋" w:eastAsia="仿宋" w:cs="仿宋"/>
          <w:sz w:val="32"/>
          <w:szCs w:val="32"/>
        </w:rPr>
        <w:t xml:space="preserve"> 当市场整体出现大面积的系统性风险，正常的风险控制措施无法完全实施并维持时，交易所向监管部门和属地区政府进行报备后可动用风险准备金。</w:t>
      </w:r>
    </w:p>
    <w:p w14:paraId="007637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FEE91AA">
      <w:pPr>
        <w:jc w:val="center"/>
        <w:outlineLvl w:val="0"/>
        <w:rPr>
          <w:rFonts w:hint="eastAsia" w:ascii="黑体" w:hAnsi="黑体" w:eastAsia="黑体" w:cs="黑体"/>
          <w:sz w:val="32"/>
          <w:szCs w:val="32"/>
        </w:rPr>
      </w:pPr>
      <w:bookmarkStart w:id="4" w:name="_Toc18848"/>
      <w:r>
        <w:rPr>
          <w:rFonts w:hint="eastAsia" w:ascii="黑体" w:hAnsi="黑体" w:eastAsia="黑体" w:cs="黑体"/>
          <w:sz w:val="32"/>
          <w:szCs w:val="32"/>
        </w:rPr>
        <w:t>第三章  风险准备金的存管</w:t>
      </w:r>
      <w:bookmarkEnd w:id="4"/>
    </w:p>
    <w:p w14:paraId="4E3C95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5EDFE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第八条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交易所须在指定的商业银行开立风险准备金专用帐户，对风险准备金进行专户管理。存放风险准备金的商业银行称为风险准备金存管银行。</w:t>
      </w:r>
    </w:p>
    <w:p w14:paraId="33F27C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第九条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交易所开立、变更或者注销风险准备金专用帐户，应当经监管部门同意核准后方可到指定的风险准备金存管银行办理，并于办理完毕后及时向监管部门报备。</w:t>
      </w:r>
    </w:p>
    <w:p w14:paraId="2DC0ED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 xml:space="preserve">第十条 </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交易所按月登记核算风险准备金的计提和变动等情况，并按照本规则的规定进行合理、有效的管理。</w:t>
      </w:r>
    </w:p>
    <w:p w14:paraId="0897A0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 xml:space="preserve">第十一条 </w:t>
      </w:r>
      <w:r>
        <w:rPr>
          <w:rFonts w:hint="eastAsia" w:ascii="仿宋" w:hAnsi="仿宋" w:eastAsia="仿宋" w:cs="仿宋"/>
          <w:sz w:val="32"/>
          <w:szCs w:val="32"/>
        </w:rPr>
        <w:t>交易所在风险准备金存管银行的风险准备金专用账户只能用于风险准备金的存管，并与</w:t>
      </w:r>
      <w:r>
        <w:rPr>
          <w:rFonts w:hint="eastAsia" w:ascii="仿宋" w:hAnsi="仿宋" w:eastAsia="仿宋" w:cs="仿宋"/>
          <w:sz w:val="32"/>
          <w:szCs w:val="32"/>
          <w:lang w:eastAsia="zh-CN"/>
        </w:rPr>
        <w:t>市场参与企业</w:t>
      </w:r>
      <w:r>
        <w:rPr>
          <w:rFonts w:hint="eastAsia" w:ascii="仿宋" w:hAnsi="仿宋" w:eastAsia="仿宋" w:cs="仿宋"/>
          <w:sz w:val="32"/>
          <w:szCs w:val="32"/>
        </w:rPr>
        <w:t>的资金及交易所的自有资金分别保管，严禁任何形式的混用、挪用等。</w:t>
      </w:r>
    </w:p>
    <w:p w14:paraId="6C32CE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9C294B1">
      <w:pPr>
        <w:jc w:val="center"/>
        <w:outlineLvl w:val="0"/>
        <w:rPr>
          <w:rFonts w:hint="eastAsia" w:ascii="黑体" w:hAnsi="黑体" w:eastAsia="黑体" w:cs="黑体"/>
          <w:sz w:val="32"/>
          <w:szCs w:val="32"/>
        </w:rPr>
      </w:pPr>
      <w:bookmarkStart w:id="5" w:name="_Toc5590"/>
      <w:r>
        <w:rPr>
          <w:rFonts w:hint="eastAsia" w:ascii="黑体" w:hAnsi="黑体" w:eastAsia="黑体" w:cs="黑体"/>
          <w:sz w:val="32"/>
          <w:szCs w:val="32"/>
        </w:rPr>
        <w:t>第四章  风险准备金的筹集原则和来源</w:t>
      </w:r>
      <w:bookmarkEnd w:id="5"/>
    </w:p>
    <w:p w14:paraId="6CBCF8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6E091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第十二条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风险准备金按照取之于市场，用之于市场的原则筹集。</w:t>
      </w:r>
    </w:p>
    <w:p w14:paraId="689833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 xml:space="preserve">第十三条 </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风险准备金的资金来源包括：</w:t>
      </w:r>
    </w:p>
    <w:p w14:paraId="20573B5C">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 初始启动资金，交易所在注册资本金中提取不低于100万元人民币作为初始风险准备金；</w:t>
      </w:r>
    </w:p>
    <w:p w14:paraId="12664053">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后续提取资金，交易所自上述一次性提取后，按照月度净手续费收入总额的1%按月计提。</w:t>
      </w:r>
    </w:p>
    <w:p w14:paraId="610BE3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第十四条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交易所风险准备金的财务科目列支按照有关财税管理制度及相</w:t>
      </w:r>
      <w:r>
        <w:rPr>
          <w:rFonts w:hint="eastAsia" w:ascii="仿宋" w:hAnsi="仿宋" w:eastAsia="仿宋" w:cs="仿宋"/>
          <w:sz w:val="32"/>
          <w:szCs w:val="32"/>
          <w:lang w:val="en-US" w:eastAsia="zh-CN"/>
        </w:rPr>
        <w:t>关</w:t>
      </w:r>
      <w:r>
        <w:rPr>
          <w:rFonts w:hint="eastAsia" w:ascii="仿宋" w:hAnsi="仿宋" w:eastAsia="仿宋" w:cs="仿宋"/>
          <w:sz w:val="32"/>
          <w:szCs w:val="32"/>
        </w:rPr>
        <w:t>监管部门的制度要求具体执行。</w:t>
      </w:r>
    </w:p>
    <w:p w14:paraId="630609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 xml:space="preserve">第十五条 </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交易所风险准备金专用账户的后续提取资金，在每个财务月度结束后5个工作日内计提上一月度应当计提的风险准备金数额存入风险准备金专用账户。</w:t>
      </w:r>
    </w:p>
    <w:p w14:paraId="5A2DA7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第十六条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有下列情况之一的，经监管部门批准，交易所可以暂停计提风险准备金：</w:t>
      </w:r>
    </w:p>
    <w:p w14:paraId="71648559">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 当风险准备金账户余额达到1亿元后；</w:t>
      </w:r>
    </w:p>
    <w:p w14:paraId="5475A498">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交易所遭受重大经济损失或不可抗力没有计提能力的；</w:t>
      </w:r>
    </w:p>
    <w:p w14:paraId="1A166D9D">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 监管部门认可的其他情况。</w:t>
      </w:r>
    </w:p>
    <w:p w14:paraId="44EA6C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 xml:space="preserve">第十七条 </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为了鼓励和保障风险准备金来源的多元化，风险准备金可以接受社会和市场参与企业等</w:t>
      </w:r>
      <w:r>
        <w:rPr>
          <w:rFonts w:hint="eastAsia" w:ascii="仿宋" w:hAnsi="仿宋" w:eastAsia="仿宋" w:cs="仿宋"/>
          <w:sz w:val="32"/>
          <w:szCs w:val="32"/>
          <w:lang w:val="en-US" w:eastAsia="zh-CN"/>
        </w:rPr>
        <w:t>主体的</w:t>
      </w:r>
      <w:r>
        <w:rPr>
          <w:rFonts w:hint="eastAsia" w:ascii="仿宋" w:hAnsi="仿宋" w:eastAsia="仿宋" w:cs="仿宋"/>
          <w:sz w:val="32"/>
          <w:szCs w:val="32"/>
        </w:rPr>
        <w:t>合法财产的捐赠。</w:t>
      </w:r>
    </w:p>
    <w:p w14:paraId="7AD43A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第十八条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风险准备金专用帐户在存管银行产生的利息以及投资所产生的各种收益等均归属于交易所，可用于交易所日常运营。风险准备金专用账户发生的各项费用和税收，由风险准备金专用账户承担。</w:t>
      </w:r>
    </w:p>
    <w:p w14:paraId="3CABEB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第十九条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交易所在经营过程中出现运营困难的，可临时调用风险准备金用于补充运营资金。</w:t>
      </w:r>
    </w:p>
    <w:p w14:paraId="6BC730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84F3EA7">
      <w:pPr>
        <w:jc w:val="center"/>
        <w:outlineLvl w:val="0"/>
        <w:rPr>
          <w:rFonts w:hint="eastAsia" w:ascii="黑体" w:hAnsi="黑体" w:eastAsia="黑体" w:cs="黑体"/>
          <w:sz w:val="32"/>
          <w:szCs w:val="32"/>
        </w:rPr>
      </w:pPr>
      <w:bookmarkStart w:id="6" w:name="_Toc18466"/>
      <w:r>
        <w:rPr>
          <w:rFonts w:hint="eastAsia" w:ascii="黑体" w:hAnsi="黑体" w:eastAsia="黑体" w:cs="黑体"/>
          <w:sz w:val="32"/>
          <w:szCs w:val="32"/>
          <w:lang w:val="en-US" w:eastAsia="zh-CN"/>
        </w:rPr>
        <w:t xml:space="preserve">第五章 </w:t>
      </w:r>
      <w:r>
        <w:rPr>
          <w:rFonts w:hint="eastAsia" w:ascii="黑体" w:hAnsi="黑体" w:eastAsia="黑体" w:cs="黑体"/>
          <w:sz w:val="32"/>
          <w:szCs w:val="32"/>
        </w:rPr>
        <w:t>风险准备金的使用</w:t>
      </w:r>
      <w:bookmarkEnd w:id="6"/>
    </w:p>
    <w:p w14:paraId="3EF459A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3832D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第二十条</w:t>
      </w:r>
      <w:r>
        <w:rPr>
          <w:rFonts w:hint="eastAsia" w:ascii="仿宋" w:hAnsi="仿宋" w:eastAsia="仿宋" w:cs="仿宋"/>
          <w:sz w:val="32"/>
          <w:szCs w:val="32"/>
        </w:rPr>
        <w:t xml:space="preserve">  除第二十一条规定的情形外，风险准备金只能用作解决系统性风险或不可抗力等原因导致的风险，不得用作他途。</w:t>
      </w:r>
    </w:p>
    <w:p w14:paraId="01B115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第二十一条</w:t>
      </w:r>
      <w:r>
        <w:rPr>
          <w:rFonts w:hint="eastAsia" w:ascii="仿宋" w:hAnsi="仿宋" w:eastAsia="仿宋" w:cs="仿宋"/>
          <w:sz w:val="32"/>
          <w:szCs w:val="32"/>
        </w:rPr>
        <w:t xml:space="preserve">  当出现以下情形时，交易所可向监管部门备案以后动用风险准备金：</w:t>
      </w:r>
    </w:p>
    <w:p w14:paraId="30DEAD39">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outlineLvl w:val="1"/>
        <w:rPr>
          <w:rFonts w:hint="eastAsia" w:ascii="仿宋" w:hAnsi="仿宋" w:eastAsia="仿宋" w:cs="仿宋"/>
          <w:sz w:val="32"/>
          <w:szCs w:val="32"/>
        </w:rPr>
      </w:pPr>
      <w:bookmarkStart w:id="7" w:name="_Toc19363"/>
      <w:r>
        <w:rPr>
          <w:rFonts w:hint="eastAsia" w:ascii="仿宋" w:hAnsi="仿宋" w:eastAsia="仿宋" w:cs="仿宋"/>
          <w:sz w:val="32"/>
          <w:szCs w:val="32"/>
        </w:rPr>
        <w:t>1. 交易系统功能受损或运行发生异常，影响市场</w:t>
      </w:r>
      <w:r>
        <w:rPr>
          <w:rFonts w:hint="eastAsia" w:ascii="仿宋" w:hAnsi="仿宋" w:eastAsia="仿宋" w:cs="仿宋"/>
          <w:sz w:val="32"/>
          <w:szCs w:val="32"/>
          <w:lang w:val="en-US" w:eastAsia="zh-CN"/>
        </w:rPr>
        <w:t>正常</w:t>
      </w:r>
      <w:r>
        <w:rPr>
          <w:rFonts w:hint="eastAsia" w:ascii="仿宋" w:hAnsi="仿宋" w:eastAsia="仿宋" w:cs="仿宋"/>
          <w:sz w:val="32"/>
          <w:szCs w:val="32"/>
        </w:rPr>
        <w:t>运行；</w:t>
      </w:r>
      <w:bookmarkEnd w:id="7"/>
    </w:p>
    <w:p w14:paraId="07EC0382">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交易系统发生异常，导致市场参与企业</w:t>
      </w:r>
      <w:r>
        <w:rPr>
          <w:rFonts w:hint="eastAsia" w:ascii="仿宋" w:hAnsi="仿宋" w:eastAsia="仿宋" w:cs="仿宋"/>
          <w:sz w:val="32"/>
          <w:szCs w:val="32"/>
          <w:lang w:val="en-US" w:eastAsia="zh-CN"/>
        </w:rPr>
        <w:t>遭受</w:t>
      </w:r>
      <w:r>
        <w:rPr>
          <w:rFonts w:hint="eastAsia" w:ascii="仿宋" w:hAnsi="仿宋" w:eastAsia="仿宋" w:cs="仿宋"/>
          <w:sz w:val="32"/>
          <w:szCs w:val="32"/>
        </w:rPr>
        <w:t>重大经济损失或</w:t>
      </w:r>
      <w:r>
        <w:rPr>
          <w:rFonts w:hint="eastAsia" w:ascii="仿宋" w:hAnsi="仿宋" w:eastAsia="仿宋" w:cs="仿宋"/>
          <w:sz w:val="32"/>
          <w:szCs w:val="32"/>
          <w:lang w:val="en-US" w:eastAsia="zh-CN"/>
        </w:rPr>
        <w:t>产生重大</w:t>
      </w:r>
      <w:r>
        <w:rPr>
          <w:rFonts w:hint="eastAsia" w:ascii="仿宋" w:hAnsi="仿宋" w:eastAsia="仿宋" w:cs="仿宋"/>
          <w:sz w:val="32"/>
          <w:szCs w:val="32"/>
        </w:rPr>
        <w:t>社会影响；</w:t>
      </w:r>
    </w:p>
    <w:p w14:paraId="05EE5276">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outlineLvl w:val="1"/>
        <w:rPr>
          <w:rFonts w:hint="eastAsia" w:ascii="仿宋" w:hAnsi="仿宋" w:eastAsia="仿宋" w:cs="仿宋"/>
          <w:sz w:val="32"/>
          <w:szCs w:val="32"/>
        </w:rPr>
      </w:pPr>
      <w:bookmarkStart w:id="8" w:name="_Toc5215"/>
      <w:r>
        <w:rPr>
          <w:rFonts w:hint="eastAsia" w:ascii="仿宋" w:hAnsi="仿宋" w:eastAsia="仿宋" w:cs="仿宋"/>
          <w:sz w:val="32"/>
          <w:szCs w:val="32"/>
        </w:rPr>
        <w:t>3. 发生投诉、上访、闹访等行为，存在维稳风险；</w:t>
      </w:r>
      <w:bookmarkEnd w:id="8"/>
    </w:p>
    <w:p w14:paraId="6C9B9916">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4. 涉及司法调查、诉讼、仲裁等情形，可能</w:t>
      </w:r>
      <w:r>
        <w:rPr>
          <w:rFonts w:hint="eastAsia" w:ascii="仿宋" w:hAnsi="仿宋" w:eastAsia="仿宋" w:cs="仿宋"/>
          <w:sz w:val="32"/>
          <w:szCs w:val="32"/>
          <w:lang w:val="en-US" w:eastAsia="zh-CN"/>
        </w:rPr>
        <w:t>造成</w:t>
      </w:r>
      <w:r>
        <w:rPr>
          <w:rFonts w:hint="eastAsia" w:ascii="仿宋" w:hAnsi="仿宋" w:eastAsia="仿宋" w:cs="仿宋"/>
          <w:sz w:val="32"/>
          <w:szCs w:val="32"/>
        </w:rPr>
        <w:t>较严重</w:t>
      </w:r>
      <w:r>
        <w:rPr>
          <w:rFonts w:hint="eastAsia" w:ascii="仿宋" w:hAnsi="仿宋" w:eastAsia="仿宋" w:cs="仿宋"/>
          <w:sz w:val="32"/>
          <w:szCs w:val="32"/>
          <w:lang w:val="en-US" w:eastAsia="zh-CN"/>
        </w:rPr>
        <w:t>的</w:t>
      </w:r>
      <w:r>
        <w:rPr>
          <w:rFonts w:hint="eastAsia" w:ascii="仿宋" w:hAnsi="仿宋" w:eastAsia="仿宋" w:cs="仿宋"/>
          <w:sz w:val="32"/>
          <w:szCs w:val="32"/>
        </w:rPr>
        <w:t>行业</w:t>
      </w:r>
      <w:r>
        <w:rPr>
          <w:rFonts w:hint="eastAsia" w:ascii="仿宋" w:hAnsi="仿宋" w:eastAsia="仿宋" w:cs="仿宋"/>
          <w:sz w:val="32"/>
          <w:szCs w:val="32"/>
          <w:lang w:val="en-US" w:eastAsia="zh-CN"/>
        </w:rPr>
        <w:t>及</w:t>
      </w:r>
      <w:r>
        <w:rPr>
          <w:rFonts w:hint="eastAsia" w:ascii="仿宋" w:hAnsi="仿宋" w:eastAsia="仿宋" w:cs="仿宋"/>
          <w:sz w:val="32"/>
          <w:szCs w:val="32"/>
        </w:rPr>
        <w:t>社会负面影响需要及时应对；</w:t>
      </w:r>
    </w:p>
    <w:p w14:paraId="633FD422">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5. 交易所自有资金无法维</w:t>
      </w:r>
      <w:r>
        <w:rPr>
          <w:rFonts w:hint="eastAsia" w:ascii="仿宋" w:hAnsi="仿宋" w:eastAsia="仿宋" w:cs="仿宋"/>
          <w:sz w:val="32"/>
          <w:szCs w:val="32"/>
          <w:lang w:val="en-US" w:eastAsia="zh-CN"/>
        </w:rPr>
        <w:t>持</w:t>
      </w:r>
      <w:r>
        <w:rPr>
          <w:rFonts w:hint="eastAsia" w:ascii="仿宋" w:hAnsi="仿宋" w:eastAsia="仿宋" w:cs="仿宋"/>
          <w:sz w:val="32"/>
          <w:szCs w:val="32"/>
        </w:rPr>
        <w:t>基础运营，出现员工安置困难；</w:t>
      </w:r>
    </w:p>
    <w:p w14:paraId="628DE07A">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6. 出现负面舆情，亟需采取危机公关紧急措施；</w:t>
      </w:r>
    </w:p>
    <w:p w14:paraId="7A60261C">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7. 其他交易所认</w:t>
      </w:r>
      <w:r>
        <w:rPr>
          <w:rFonts w:hint="eastAsia" w:ascii="仿宋" w:hAnsi="仿宋" w:eastAsia="仿宋" w:cs="仿宋"/>
          <w:sz w:val="32"/>
          <w:szCs w:val="32"/>
          <w:lang w:val="en-US" w:eastAsia="zh-CN"/>
        </w:rPr>
        <w:t>定</w:t>
      </w:r>
      <w:r>
        <w:rPr>
          <w:rFonts w:hint="eastAsia" w:ascii="仿宋" w:hAnsi="仿宋" w:eastAsia="仿宋" w:cs="仿宋"/>
          <w:sz w:val="32"/>
          <w:szCs w:val="32"/>
        </w:rPr>
        <w:t>需要动用风险准备金应对</w:t>
      </w:r>
      <w:r>
        <w:rPr>
          <w:rFonts w:hint="eastAsia" w:ascii="仿宋" w:hAnsi="仿宋" w:eastAsia="仿宋" w:cs="仿宋"/>
          <w:sz w:val="32"/>
          <w:szCs w:val="32"/>
          <w:lang w:val="en-US" w:eastAsia="zh-CN"/>
        </w:rPr>
        <w:t>的</w:t>
      </w:r>
      <w:r>
        <w:rPr>
          <w:rFonts w:hint="eastAsia" w:ascii="仿宋" w:hAnsi="仿宋" w:eastAsia="仿宋" w:cs="仿宋"/>
          <w:sz w:val="32"/>
          <w:szCs w:val="32"/>
        </w:rPr>
        <w:t>紧急事件及</w:t>
      </w:r>
      <w:r>
        <w:rPr>
          <w:rFonts w:hint="eastAsia" w:ascii="仿宋" w:hAnsi="仿宋" w:eastAsia="仿宋" w:cs="仿宋"/>
          <w:sz w:val="32"/>
          <w:szCs w:val="32"/>
          <w:lang w:val="en-US" w:eastAsia="zh-CN"/>
        </w:rPr>
        <w:t>相关</w:t>
      </w:r>
      <w:r>
        <w:rPr>
          <w:rFonts w:hint="eastAsia" w:ascii="仿宋" w:hAnsi="仿宋" w:eastAsia="仿宋" w:cs="仿宋"/>
          <w:sz w:val="32"/>
          <w:szCs w:val="32"/>
        </w:rPr>
        <w:t>情形。</w:t>
      </w:r>
    </w:p>
    <w:p w14:paraId="3B95A9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 w:hAnsi="仿宋" w:eastAsia="仿宋" w:cs="仿宋"/>
          <w:sz w:val="32"/>
          <w:szCs w:val="32"/>
        </w:rPr>
      </w:pPr>
      <w:bookmarkStart w:id="9" w:name="_Toc6433"/>
      <w:r>
        <w:rPr>
          <w:rFonts w:hint="eastAsia" w:ascii="楷体" w:hAnsi="楷体" w:eastAsia="楷体" w:cs="楷体"/>
          <w:b/>
          <w:bCs/>
          <w:sz w:val="32"/>
          <w:szCs w:val="32"/>
        </w:rPr>
        <w:t>第二十二条</w:t>
      </w:r>
      <w:r>
        <w:rPr>
          <w:rFonts w:hint="eastAsia" w:ascii="仿宋" w:hAnsi="仿宋" w:eastAsia="仿宋" w:cs="仿宋"/>
          <w:sz w:val="32"/>
          <w:szCs w:val="32"/>
        </w:rPr>
        <w:t xml:space="preserve">  使用风险准备金应严格遵守以下流程：</w:t>
      </w:r>
      <w:bookmarkEnd w:id="9"/>
    </w:p>
    <w:p w14:paraId="6F105B46">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 交易所相关部门判定</w:t>
      </w:r>
      <w:r>
        <w:rPr>
          <w:rFonts w:hint="eastAsia" w:ascii="仿宋" w:hAnsi="仿宋" w:eastAsia="仿宋" w:cs="仿宋"/>
          <w:sz w:val="32"/>
          <w:szCs w:val="32"/>
          <w:lang w:val="en-US" w:eastAsia="zh-CN"/>
        </w:rPr>
        <w:t>产</w:t>
      </w:r>
      <w:r>
        <w:rPr>
          <w:rFonts w:hint="eastAsia" w:ascii="仿宋" w:hAnsi="仿宋" w:eastAsia="仿宋" w:cs="仿宋"/>
          <w:sz w:val="32"/>
          <w:szCs w:val="32"/>
        </w:rPr>
        <w:t>生</w:t>
      </w:r>
      <w:r>
        <w:rPr>
          <w:rFonts w:hint="eastAsia" w:ascii="仿宋" w:hAnsi="仿宋" w:eastAsia="仿宋" w:cs="仿宋"/>
          <w:sz w:val="32"/>
          <w:szCs w:val="32"/>
          <w:lang w:val="en-US" w:eastAsia="zh-CN"/>
        </w:rPr>
        <w:t>的</w:t>
      </w:r>
      <w:r>
        <w:rPr>
          <w:rFonts w:hint="eastAsia" w:ascii="仿宋" w:hAnsi="仿宋" w:eastAsia="仿宋" w:cs="仿宋"/>
          <w:sz w:val="32"/>
          <w:szCs w:val="32"/>
        </w:rPr>
        <w:t>风险</w:t>
      </w:r>
      <w:r>
        <w:rPr>
          <w:rFonts w:hint="eastAsia" w:ascii="仿宋" w:hAnsi="仿宋" w:eastAsia="仿宋" w:cs="仿宋"/>
          <w:sz w:val="32"/>
          <w:szCs w:val="32"/>
          <w:lang w:val="en-US" w:eastAsia="zh-CN"/>
        </w:rPr>
        <w:t>符合</w:t>
      </w:r>
      <w:r>
        <w:rPr>
          <w:rFonts w:hint="eastAsia" w:ascii="仿宋" w:hAnsi="仿宋" w:eastAsia="仿宋" w:cs="仿宋"/>
          <w:sz w:val="32"/>
          <w:szCs w:val="32"/>
        </w:rPr>
        <w:t>上述规定</w:t>
      </w:r>
      <w:r>
        <w:rPr>
          <w:rFonts w:hint="eastAsia" w:ascii="仿宋" w:hAnsi="仿宋" w:eastAsia="仿宋" w:cs="仿宋"/>
          <w:sz w:val="32"/>
          <w:szCs w:val="32"/>
          <w:lang w:val="en-US" w:eastAsia="zh-CN"/>
        </w:rPr>
        <w:t>情形的</w:t>
      </w:r>
      <w:r>
        <w:rPr>
          <w:rFonts w:hint="eastAsia" w:ascii="仿宋" w:hAnsi="仿宋" w:eastAsia="仿宋" w:cs="仿宋"/>
          <w:sz w:val="32"/>
          <w:szCs w:val="32"/>
        </w:rPr>
        <w:t>，启动使用风险准备金的内部审批流程；</w:t>
      </w:r>
    </w:p>
    <w:p w14:paraId="12B659E8">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交易所相关部门负责人在征得分管领导明确同意启用风险准备金</w:t>
      </w:r>
      <w:r>
        <w:rPr>
          <w:rFonts w:hint="eastAsia" w:ascii="仿宋" w:hAnsi="仿宋" w:eastAsia="仿宋" w:cs="仿宋"/>
          <w:sz w:val="32"/>
          <w:szCs w:val="32"/>
          <w:lang w:val="en-US" w:eastAsia="zh-CN"/>
        </w:rPr>
        <w:t>的</w:t>
      </w:r>
      <w:r>
        <w:rPr>
          <w:rFonts w:hint="eastAsia" w:ascii="仿宋" w:hAnsi="仿宋" w:eastAsia="仿宋" w:cs="仿宋"/>
          <w:sz w:val="32"/>
          <w:szCs w:val="32"/>
        </w:rPr>
        <w:t>意见后发起动用风险准备金的申请，</w:t>
      </w:r>
      <w:r>
        <w:rPr>
          <w:rFonts w:hint="eastAsia" w:ascii="仿宋" w:hAnsi="仿宋" w:eastAsia="仿宋" w:cs="仿宋"/>
          <w:sz w:val="32"/>
          <w:szCs w:val="32"/>
          <w:lang w:val="en-US" w:eastAsia="zh-CN"/>
        </w:rPr>
        <w:t>经</w:t>
      </w:r>
      <w:r>
        <w:rPr>
          <w:rFonts w:hint="eastAsia" w:ascii="仿宋" w:hAnsi="仿宋" w:eastAsia="仿宋" w:cs="仿宋"/>
          <w:sz w:val="32"/>
          <w:szCs w:val="32"/>
        </w:rPr>
        <w:t>相关部门共同会签</w:t>
      </w:r>
      <w:r>
        <w:rPr>
          <w:rFonts w:hint="eastAsia" w:ascii="仿宋" w:hAnsi="仿宋" w:eastAsia="仿宋" w:cs="仿宋"/>
          <w:sz w:val="32"/>
          <w:szCs w:val="32"/>
          <w:lang w:eastAsia="zh-CN"/>
        </w:rPr>
        <w:t>，</w:t>
      </w:r>
      <w:r>
        <w:rPr>
          <w:rFonts w:hint="eastAsia" w:ascii="仿宋" w:hAnsi="仿宋" w:eastAsia="仿宋" w:cs="仿宋"/>
          <w:sz w:val="32"/>
          <w:szCs w:val="32"/>
        </w:rPr>
        <w:t>提报各相关部门分管领导和总经理审批，</w:t>
      </w:r>
      <w:r>
        <w:rPr>
          <w:rFonts w:hint="eastAsia" w:ascii="仿宋" w:hAnsi="仿宋" w:eastAsia="仿宋" w:cs="仿宋"/>
          <w:sz w:val="32"/>
          <w:szCs w:val="32"/>
          <w:lang w:val="en-US" w:eastAsia="zh-CN"/>
        </w:rPr>
        <w:t>经</w:t>
      </w:r>
      <w:r>
        <w:rPr>
          <w:rFonts w:hint="eastAsia" w:ascii="仿宋" w:hAnsi="仿宋" w:eastAsia="仿宋" w:cs="仿宋"/>
          <w:sz w:val="32"/>
          <w:szCs w:val="32"/>
        </w:rPr>
        <w:t>总经理批复后上报董事会，</w:t>
      </w:r>
      <w:r>
        <w:rPr>
          <w:rFonts w:hint="eastAsia" w:ascii="仿宋" w:hAnsi="仿宋" w:eastAsia="仿宋" w:cs="仿宋"/>
          <w:sz w:val="32"/>
          <w:szCs w:val="32"/>
          <w:lang w:val="en-US" w:eastAsia="zh-CN"/>
        </w:rPr>
        <w:t>经</w:t>
      </w:r>
      <w:r>
        <w:rPr>
          <w:rFonts w:hint="eastAsia" w:ascii="仿宋" w:hAnsi="仿宋" w:eastAsia="仿宋" w:cs="仿宋"/>
          <w:sz w:val="32"/>
          <w:szCs w:val="32"/>
        </w:rPr>
        <w:t>董事会或董事会授权的总经理办公会决议通过后，完成内部审批流程；</w:t>
      </w:r>
    </w:p>
    <w:p w14:paraId="08B7ECA9">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 交易所负责统一对外联络的部门将动用风险准备金的预案向监管部门进行书面备案；</w:t>
      </w:r>
    </w:p>
    <w:p w14:paraId="53733621">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outlineLvl w:val="1"/>
        <w:rPr>
          <w:rFonts w:hint="eastAsia" w:ascii="仿宋" w:hAnsi="仿宋" w:eastAsia="仿宋" w:cs="仿宋"/>
          <w:sz w:val="32"/>
          <w:szCs w:val="32"/>
        </w:rPr>
      </w:pPr>
      <w:bookmarkStart w:id="10" w:name="_Toc9195"/>
      <w:r>
        <w:rPr>
          <w:rFonts w:hint="eastAsia" w:ascii="仿宋" w:hAnsi="仿宋" w:eastAsia="仿宋" w:cs="仿宋"/>
          <w:sz w:val="32"/>
          <w:szCs w:val="32"/>
        </w:rPr>
        <w:t>4. 交易所动用风险准备金应对危机；</w:t>
      </w:r>
      <w:bookmarkEnd w:id="10"/>
    </w:p>
    <w:p w14:paraId="01A995B7">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5. 交易所将风险准备金的使用</w:t>
      </w:r>
      <w:r>
        <w:rPr>
          <w:rFonts w:hint="eastAsia" w:ascii="仿宋" w:hAnsi="仿宋" w:eastAsia="仿宋" w:cs="仿宋"/>
          <w:sz w:val="32"/>
          <w:szCs w:val="32"/>
          <w:lang w:val="en-US" w:eastAsia="zh-CN"/>
        </w:rPr>
        <w:t>情</w:t>
      </w:r>
      <w:r>
        <w:rPr>
          <w:rFonts w:hint="eastAsia" w:ascii="仿宋" w:hAnsi="仿宋" w:eastAsia="仿宋" w:cs="仿宋"/>
          <w:sz w:val="32"/>
          <w:szCs w:val="32"/>
        </w:rPr>
        <w:t>况以及问题解决结果以书面形式向监管部门汇报。</w:t>
      </w:r>
    </w:p>
    <w:p w14:paraId="69D868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第二十三条</w:t>
      </w:r>
      <w:r>
        <w:rPr>
          <w:rFonts w:hint="eastAsia" w:ascii="仿宋" w:hAnsi="仿宋" w:eastAsia="仿宋" w:cs="仿宋"/>
          <w:sz w:val="32"/>
          <w:szCs w:val="32"/>
        </w:rPr>
        <w:t xml:space="preserve">  风险准备金不得用于除二十六条规定以外的对外投资及与处置风险无关的事项。</w:t>
      </w:r>
    </w:p>
    <w:p w14:paraId="4CC51A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C2CD34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32"/>
          <w:szCs w:val="32"/>
        </w:rPr>
      </w:pPr>
      <w:bookmarkStart w:id="11" w:name="_Toc22152"/>
      <w:r>
        <w:rPr>
          <w:rFonts w:hint="eastAsia" w:ascii="黑体" w:hAnsi="黑体" w:eastAsia="黑体" w:cs="黑体"/>
          <w:sz w:val="32"/>
          <w:szCs w:val="32"/>
          <w:lang w:val="en-US" w:eastAsia="zh-CN"/>
        </w:rPr>
        <w:t>第六章  风险准备金的监督和管理</w:t>
      </w:r>
      <w:bookmarkEnd w:id="11"/>
    </w:p>
    <w:p w14:paraId="4CF22E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EC7F3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第二十四条</w:t>
      </w:r>
      <w:r>
        <w:rPr>
          <w:rFonts w:hint="eastAsia" w:ascii="仿宋" w:hAnsi="仿宋" w:eastAsia="仿宋" w:cs="仿宋"/>
          <w:sz w:val="32"/>
          <w:szCs w:val="32"/>
        </w:rPr>
        <w:t xml:space="preserve">  交易所的风险准备金由交易所在监管部门的监管下进行统一管理，统筹使用。</w:t>
      </w:r>
    </w:p>
    <w:p w14:paraId="24EEE5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第二十五条</w:t>
      </w:r>
      <w:r>
        <w:rPr>
          <w:rFonts w:hint="eastAsia" w:ascii="仿宋" w:hAnsi="仿宋" w:eastAsia="仿宋" w:cs="仿宋"/>
          <w:sz w:val="32"/>
          <w:szCs w:val="32"/>
        </w:rPr>
        <w:t xml:space="preserve">  对于风险准备金的管理应当遵循安全、稳健的原则，保障风险准备金的安全。</w:t>
      </w:r>
    </w:p>
    <w:p w14:paraId="156DBA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第二十六条</w:t>
      </w:r>
      <w:r>
        <w:rPr>
          <w:rFonts w:hint="eastAsia" w:ascii="仿宋" w:hAnsi="仿宋" w:eastAsia="仿宋" w:cs="仿宋"/>
          <w:sz w:val="32"/>
          <w:szCs w:val="32"/>
        </w:rPr>
        <w:t xml:space="preserve">  风险准备金应当仅限</w:t>
      </w:r>
      <w:r>
        <w:rPr>
          <w:rFonts w:hint="eastAsia" w:ascii="仿宋" w:hAnsi="仿宋" w:eastAsia="仿宋" w:cs="仿宋"/>
          <w:sz w:val="32"/>
          <w:szCs w:val="32"/>
          <w:lang w:val="en-US" w:eastAsia="zh-CN"/>
        </w:rPr>
        <w:t>用</w:t>
      </w:r>
      <w:r>
        <w:rPr>
          <w:rFonts w:hint="eastAsia" w:ascii="仿宋" w:hAnsi="仿宋" w:eastAsia="仿宋" w:cs="仿宋"/>
          <w:sz w:val="32"/>
          <w:szCs w:val="32"/>
        </w:rPr>
        <w:t>于</w:t>
      </w:r>
      <w:bookmarkStart w:id="13" w:name="_GoBack"/>
      <w:bookmarkEnd w:id="13"/>
      <w:r>
        <w:rPr>
          <w:rFonts w:hint="eastAsia" w:ascii="仿宋" w:hAnsi="仿宋" w:eastAsia="仿宋" w:cs="仿宋"/>
          <w:sz w:val="32"/>
          <w:szCs w:val="32"/>
        </w:rPr>
        <w:t>银行存款、购买国债等有国家信用担保并且具有高流动性的，保障本金安全的资金运用方式。其资金管理方案及变</w:t>
      </w:r>
      <w:r>
        <w:rPr>
          <w:rFonts w:hint="eastAsia" w:ascii="仿宋" w:hAnsi="仿宋" w:eastAsia="仿宋" w:cs="仿宋"/>
          <w:sz w:val="32"/>
          <w:szCs w:val="32"/>
          <w:lang w:val="en-US" w:eastAsia="zh-CN"/>
        </w:rPr>
        <w:t>更</w:t>
      </w:r>
      <w:r>
        <w:rPr>
          <w:rFonts w:hint="eastAsia" w:ascii="仿宋" w:hAnsi="仿宋" w:eastAsia="仿宋" w:cs="仿宋"/>
          <w:sz w:val="32"/>
          <w:szCs w:val="32"/>
        </w:rPr>
        <w:t>应经总经理办公会审批。</w:t>
      </w:r>
    </w:p>
    <w:p w14:paraId="4BE664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第二十七条</w:t>
      </w:r>
      <w:r>
        <w:rPr>
          <w:rFonts w:hint="eastAsia" w:ascii="仿宋" w:hAnsi="仿宋" w:eastAsia="仿宋" w:cs="仿宋"/>
          <w:sz w:val="32"/>
          <w:szCs w:val="32"/>
        </w:rPr>
        <w:t xml:space="preserve">  交易所的风险准备金专用账户应当实行独立核算，分别管理，并与交易所的其他资产有效隔离。</w:t>
      </w:r>
    </w:p>
    <w:p w14:paraId="5A3EAB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 xml:space="preserve">第二十八条 </w:t>
      </w:r>
      <w:r>
        <w:rPr>
          <w:rFonts w:hint="eastAsia" w:ascii="仿宋" w:hAnsi="仿宋" w:eastAsia="仿宋" w:cs="仿宋"/>
          <w:sz w:val="32"/>
          <w:szCs w:val="32"/>
        </w:rPr>
        <w:t xml:space="preserve"> 交易所应当妥善保存有关风险准备金的财务凭证、账簿和报表等资料，确保财务记录和档案的完整性、真实性。</w:t>
      </w:r>
    </w:p>
    <w:p w14:paraId="2FB29A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E11E58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rPr>
      </w:pPr>
      <w:bookmarkStart w:id="12" w:name="_Toc11058"/>
      <w:r>
        <w:rPr>
          <w:rFonts w:hint="eastAsia" w:ascii="黑体" w:hAnsi="黑体" w:eastAsia="黑体" w:cs="黑体"/>
          <w:sz w:val="32"/>
          <w:szCs w:val="32"/>
        </w:rPr>
        <w:t>第七章  附则</w:t>
      </w:r>
      <w:bookmarkEnd w:id="12"/>
    </w:p>
    <w:p w14:paraId="4B886E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第二十九条</w:t>
      </w:r>
      <w:r>
        <w:rPr>
          <w:rFonts w:hint="eastAsia" w:ascii="仿宋" w:hAnsi="仿宋" w:eastAsia="仿宋" w:cs="仿宋"/>
          <w:sz w:val="32"/>
          <w:szCs w:val="32"/>
        </w:rPr>
        <w:t xml:space="preserve">  本规则由</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制定、修订并解释。</w:t>
      </w:r>
    </w:p>
    <w:p w14:paraId="775EED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第三十条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交易所有权根据本规则制定相应的业务指引及流程。</w:t>
      </w:r>
    </w:p>
    <w:p w14:paraId="4634C2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第三十一条</w:t>
      </w:r>
      <w:r>
        <w:rPr>
          <w:rFonts w:hint="eastAsia" w:ascii="仿宋" w:hAnsi="仿宋" w:eastAsia="仿宋" w:cs="仿宋"/>
          <w:sz w:val="32"/>
          <w:szCs w:val="32"/>
        </w:rPr>
        <w:t xml:space="preserve">  本规则自颁布之日起施行。</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3BEF0">
    <w:pPr>
      <w:spacing w:line="182" w:lineRule="auto"/>
      <w:rPr>
        <w:rFonts w:ascii="Times New Roman" w:hAnsi="Times New Roman" w:eastAsia="Times New Roman" w:cs="Times New Roman"/>
        <w:sz w:val="22"/>
        <w:szCs w:val="22"/>
      </w:rPr>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64A52">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D64A52">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NzdiNWQ3NDAyMDZkODBjODA3ZmU5YTI5NTFlOWEifQ=="/>
  </w:docVars>
  <w:rsids>
    <w:rsidRoot w:val="66FD1CB9"/>
    <w:rsid w:val="0B921C08"/>
    <w:rsid w:val="0BB0788C"/>
    <w:rsid w:val="0BB16BAF"/>
    <w:rsid w:val="0EA821C5"/>
    <w:rsid w:val="17FE0365"/>
    <w:rsid w:val="1852501A"/>
    <w:rsid w:val="1BDD53DA"/>
    <w:rsid w:val="26EC20B9"/>
    <w:rsid w:val="3034687E"/>
    <w:rsid w:val="3227669B"/>
    <w:rsid w:val="34A02734"/>
    <w:rsid w:val="37A12A4B"/>
    <w:rsid w:val="405F34A4"/>
    <w:rsid w:val="52742DDF"/>
    <w:rsid w:val="56562474"/>
    <w:rsid w:val="57BE60E8"/>
    <w:rsid w:val="591D3F36"/>
    <w:rsid w:val="5A37688E"/>
    <w:rsid w:val="5D5A7075"/>
    <w:rsid w:val="5E726663"/>
    <w:rsid w:val="6184058B"/>
    <w:rsid w:val="618B3CA1"/>
    <w:rsid w:val="62BF0B54"/>
    <w:rsid w:val="63C91C60"/>
    <w:rsid w:val="64DA35CB"/>
    <w:rsid w:val="667C1266"/>
    <w:rsid w:val="66FD1CB9"/>
    <w:rsid w:val="79986B03"/>
    <w:rsid w:val="7A794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2"/>
      <w:szCs w:val="2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WPSOffice手动目录 1"/>
    <w:qFormat/>
    <w:uiPriority w:val="0"/>
    <w:pPr>
      <w:ind w:leftChars="0"/>
    </w:pPr>
    <w:rPr>
      <w:rFonts w:asciiTheme="minorHAnsi" w:hAnsiTheme="minorHAnsi" w:eastAsiaTheme="minorEastAsia" w:cstheme="minorBidi"/>
      <w:sz w:val="20"/>
      <w:szCs w:val="20"/>
    </w:rPr>
  </w:style>
  <w:style w:type="paragraph" w:customStyle="1" w:styleId="7">
    <w:name w:val="WPSOffice手动目录 2"/>
    <w:qFormat/>
    <w:uiPriority w:val="0"/>
    <w:pPr>
      <w:ind w:leftChars="200"/>
    </w:pPr>
    <w:rPr>
      <w:rFonts w:asciiTheme="minorHAnsi" w:hAnsiTheme="minorHAnsi" w:eastAsiaTheme="minorEastAsia" w:cstheme="minorBidi"/>
      <w:sz w:val="20"/>
      <w:szCs w:val="20"/>
    </w:rPr>
  </w:style>
  <w:style w:type="paragraph" w:customStyle="1" w:styleId="8">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2260</Words>
  <Characters>2280</Characters>
  <Lines>0</Lines>
  <Paragraphs>0</Paragraphs>
  <TotalTime>16</TotalTime>
  <ScaleCrop>false</ScaleCrop>
  <LinksUpToDate>false</LinksUpToDate>
  <CharactersWithSpaces>2407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2024-06-18T14:15:00Z</dcterms:created>
  <dc:creator>努力站桩的奶酪</dc:creator>
  <cp:lastModifiedBy>天交所</cp:lastModifiedBy>
  <dcterms:modified xsi:type="dcterms:W3CDTF">2026-04-10T08:42:47Z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CEBA285790C14741A4197E0BF560538A_11</vt:lpwstr>
  </property>
  <property fmtid="{D5CDD505-2E9C-101B-9397-08002B2CF9AE}" pid="4" name="KSOTemplateDocerSaveRecord">
    <vt:lpwstr>eyJoZGlkIjoiNzlkN2FiOThlZDNjZTg0MDY3NzIzMzRlNTg5NDY0ZmUiLCJ1c2VySWQiOiIxNjUyMDQxNDk1In0=</vt:lpwstr>
  </property>
</Properties>
</file>