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A7F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天津国际电子商品交易有限</w:t>
      </w:r>
      <w:bookmarkStart w:id="22" w:name="_GoBack"/>
      <w:bookmarkEnd w:id="22"/>
      <w:r>
        <w:rPr>
          <w:rFonts w:hint="eastAsia" w:ascii="宋体" w:hAnsi="宋体" w:eastAsia="宋体" w:cs="宋体"/>
          <w:b/>
          <w:bCs/>
          <w:sz w:val="44"/>
          <w:szCs w:val="44"/>
          <w:lang w:val="en-US" w:eastAsia="zh-CN"/>
        </w:rPr>
        <w:t>公司</w:t>
      </w:r>
    </w:p>
    <w:p w14:paraId="164D392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宋体" w:hAnsi="宋体" w:eastAsia="宋体" w:cs="宋体"/>
          <w:b/>
          <w:bCs/>
          <w:sz w:val="44"/>
          <w:szCs w:val="44"/>
          <w:lang w:val="en-US" w:eastAsia="en-US"/>
        </w:rPr>
      </w:pPr>
      <w:bookmarkStart w:id="0" w:name="_Toc15591"/>
      <w:r>
        <w:rPr>
          <w:rFonts w:hint="eastAsia" w:ascii="宋体" w:hAnsi="宋体" w:eastAsia="宋体" w:cs="宋体"/>
          <w:b/>
          <w:bCs/>
          <w:sz w:val="44"/>
          <w:szCs w:val="44"/>
          <w:lang w:val="en-US" w:eastAsia="en-US"/>
        </w:rPr>
        <w:t>风险管理办法</w:t>
      </w:r>
      <w:bookmarkEnd w:id="0"/>
    </w:p>
    <w:p w14:paraId="3FED9BE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val="0"/>
          <w:bCs w:val="0"/>
          <w:sz w:val="32"/>
          <w:szCs w:val="32"/>
          <w:lang w:val="en-US" w:eastAsia="en-US"/>
        </w:rPr>
      </w:pPr>
      <w:r>
        <w:rPr>
          <w:rFonts w:hint="eastAsia" w:ascii="宋体" w:hAnsi="宋体" w:eastAsia="宋体" w:cs="宋体"/>
          <w:b w:val="0"/>
          <w:bCs w:val="0"/>
          <w:sz w:val="32"/>
          <w:szCs w:val="32"/>
          <w:lang w:val="en-US" w:eastAsia="en-US"/>
        </w:rPr>
        <w:t>(</w:t>
      </w:r>
      <w:r>
        <w:rPr>
          <w:rFonts w:hint="eastAsia" w:ascii="宋体" w:hAnsi="宋体" w:eastAsia="宋体" w:cs="宋体"/>
          <w:b w:val="0"/>
          <w:bCs w:val="0"/>
          <w:sz w:val="32"/>
          <w:szCs w:val="32"/>
          <w:lang w:val="en-US" w:eastAsia="zh-CN"/>
        </w:rPr>
        <w:t>试</w:t>
      </w:r>
      <w:r>
        <w:rPr>
          <w:rFonts w:hint="eastAsia" w:ascii="宋体" w:hAnsi="宋体" w:eastAsia="宋体" w:cs="宋体"/>
          <w:b w:val="0"/>
          <w:bCs w:val="0"/>
          <w:sz w:val="32"/>
          <w:szCs w:val="32"/>
          <w:lang w:val="en-US" w:eastAsia="en-US"/>
        </w:rPr>
        <w:t>行)</w:t>
      </w:r>
    </w:p>
    <w:p w14:paraId="4FD75F23">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lang w:eastAsia="en-US"/>
        </w:rPr>
      </w:pPr>
    </w:p>
    <w:sdt>
      <w:sdtPr>
        <w:rPr>
          <w:rFonts w:ascii="宋体" w:hAnsi="宋体" w:eastAsia="宋体" w:cstheme="minorBidi"/>
          <w:kern w:val="2"/>
          <w:sz w:val="21"/>
          <w:szCs w:val="24"/>
          <w:lang w:val="en-US" w:eastAsia="zh-CN" w:bidi="ar-SA"/>
        </w:rPr>
        <w:id w:val="147479482"/>
        <w15:color w:val="DBDBDB"/>
        <w:docPartObj>
          <w:docPartGallery w:val="Table of Contents"/>
          <w:docPartUnique/>
        </w:docPartObj>
      </w:sdtPr>
      <w:sdtEndPr>
        <w:rPr>
          <w:rFonts w:hint="eastAsia" w:ascii="仿宋" w:hAnsi="仿宋" w:eastAsia="仿宋" w:cs="仿宋"/>
          <w:kern w:val="2"/>
          <w:sz w:val="24"/>
          <w:szCs w:val="24"/>
          <w:lang w:val="en-US" w:eastAsia="zh-CN" w:bidi="ar-SA"/>
        </w:rPr>
      </w:sdtEndPr>
      <w:sdtContent>
        <w:p w14:paraId="276496AA">
          <w:pPr>
            <w:spacing w:before="0" w:beforeLines="0" w:after="0" w:afterLines="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p>
        <w:p w14:paraId="25F3FC72">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_Toc17117 </w:instrText>
          </w:r>
          <w:r>
            <w:rPr>
              <w:rFonts w:hint="eastAsia" w:ascii="仿宋" w:hAnsi="仿宋" w:eastAsia="仿宋" w:cs="仿宋"/>
              <w:sz w:val="24"/>
              <w:szCs w:val="24"/>
            </w:rPr>
            <w:fldChar w:fldCharType="separate"/>
          </w:r>
          <w:r>
            <w:rPr>
              <w:rFonts w:hint="eastAsia" w:ascii="仿宋" w:hAnsi="仿宋" w:eastAsia="仿宋" w:cs="仿宋"/>
              <w:sz w:val="24"/>
              <w:szCs w:val="24"/>
            </w:rPr>
            <w:t>第 一 章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_Toc17117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5D338D">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_Toc15991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第二章</w:t>
          </w:r>
          <w:r>
            <w:rPr>
              <w:rFonts w:hint="eastAsia" w:ascii="仿宋" w:hAnsi="仿宋" w:eastAsia="仿宋" w:cs="仿宋"/>
              <w:sz w:val="24"/>
              <w:szCs w:val="24"/>
            </w:rPr>
            <w:t xml:space="preserve"> 风险管理的原则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_Toc15991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5F78FAB">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_Toc14950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第三章</w:t>
          </w:r>
          <w:r>
            <w:rPr>
              <w:rFonts w:hint="eastAsia" w:ascii="仿宋" w:hAnsi="仿宋" w:eastAsia="仿宋" w:cs="仿宋"/>
              <w:sz w:val="24"/>
              <w:szCs w:val="24"/>
            </w:rPr>
            <w:t xml:space="preserve"> 履约订金管理制度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_Toc14950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100981B">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_Toc29908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第四章</w:t>
          </w:r>
          <w:r>
            <w:rPr>
              <w:rFonts w:hint="eastAsia" w:ascii="仿宋" w:hAnsi="仿宋" w:eastAsia="仿宋" w:cs="仿宋"/>
              <w:sz w:val="24"/>
              <w:szCs w:val="24"/>
            </w:rPr>
            <w:t>交易限额制度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_Toc29908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566B31F">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_Toc25949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第五章</w:t>
          </w:r>
          <w:r>
            <w:rPr>
              <w:rFonts w:hint="eastAsia" w:ascii="仿宋" w:hAnsi="仿宋" w:eastAsia="仿宋" w:cs="仿宋"/>
              <w:sz w:val="24"/>
              <w:szCs w:val="24"/>
            </w:rPr>
            <w:t>价格涨跌幅限制制度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_Toc25949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C723F7">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_Toc29199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第六章</w:t>
          </w:r>
          <w:r>
            <w:rPr>
              <w:rFonts w:hint="eastAsia" w:ascii="仿宋" w:hAnsi="仿宋" w:eastAsia="仿宋" w:cs="仿宋"/>
              <w:sz w:val="24"/>
              <w:szCs w:val="24"/>
            </w:rPr>
            <w:t xml:space="preserve"> 强行了结制度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_Toc29199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48EAE7">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_Toc11176 </w:instrText>
          </w:r>
          <w:r>
            <w:rPr>
              <w:rFonts w:hint="eastAsia" w:ascii="仿宋" w:hAnsi="仿宋" w:eastAsia="仿宋" w:cs="仿宋"/>
              <w:sz w:val="24"/>
              <w:szCs w:val="24"/>
            </w:rPr>
            <w:fldChar w:fldCharType="separate"/>
          </w:r>
          <w:r>
            <w:rPr>
              <w:rFonts w:hint="eastAsia" w:ascii="仿宋" w:hAnsi="仿宋" w:eastAsia="仿宋" w:cs="仿宋"/>
              <w:sz w:val="24"/>
              <w:szCs w:val="24"/>
            </w:rPr>
            <w:t>第七章 风险警示制度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_Toc11176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E6E410">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_Toc8700 </w:instrText>
          </w:r>
          <w:r>
            <w:rPr>
              <w:rFonts w:hint="eastAsia" w:ascii="仿宋" w:hAnsi="仿宋" w:eastAsia="仿宋" w:cs="仿宋"/>
              <w:sz w:val="24"/>
              <w:szCs w:val="24"/>
            </w:rPr>
            <w:fldChar w:fldCharType="separate"/>
          </w:r>
          <w:r>
            <w:rPr>
              <w:rFonts w:hint="eastAsia" w:ascii="仿宋" w:hAnsi="仿宋" w:eastAsia="仿宋" w:cs="仿宋"/>
              <w:sz w:val="24"/>
              <w:szCs w:val="24"/>
            </w:rPr>
            <w:t>第八章 异常情形管理制度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_Toc8700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E641719">
          <w:pPr>
            <w:pStyle w:val="5"/>
            <w:keepNext w:val="0"/>
            <w:keepLines w:val="0"/>
            <w:pageBreakBefore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_Toc14717 </w:instrText>
          </w:r>
          <w:r>
            <w:rPr>
              <w:rFonts w:hint="eastAsia" w:ascii="仿宋" w:hAnsi="仿宋" w:eastAsia="仿宋" w:cs="仿宋"/>
              <w:sz w:val="24"/>
              <w:szCs w:val="24"/>
            </w:rPr>
            <w:fldChar w:fldCharType="separate"/>
          </w:r>
          <w:r>
            <w:rPr>
              <w:rFonts w:hint="eastAsia" w:ascii="仿宋" w:hAnsi="仿宋" w:eastAsia="仿宋" w:cs="仿宋"/>
              <w:sz w:val="24"/>
              <w:szCs w:val="24"/>
            </w:rPr>
            <w:t>第九章 附则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_Toc14717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2E8C39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fldChar w:fldCharType="end"/>
          </w:r>
        </w:p>
      </w:sdtContent>
    </w:sdt>
    <w:p w14:paraId="177B15D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lang w:val="en-US" w:eastAsia="zh-CN" w:bidi="ar-SA"/>
        </w:rPr>
        <w:sectPr>
          <w:footerReference r:id="rId3" w:type="default"/>
          <w:pgSz w:w="11905" w:h="16838"/>
          <w:pgMar w:top="2098" w:right="1474" w:bottom="1984" w:left="1587" w:header="850" w:footer="992" w:gutter="0"/>
          <w:pgNumType w:fmt="decimal"/>
          <w:cols w:space="0" w:num="1"/>
          <w:rtlGutter w:val="0"/>
          <w:docGrid w:type="lines" w:linePitch="319" w:charSpace="0"/>
        </w:sectPr>
      </w:pPr>
    </w:p>
    <w:p w14:paraId="12C4547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 w:name="_Toc17117"/>
      <w:r>
        <w:rPr>
          <w:rFonts w:hint="eastAsia" w:ascii="黑体" w:hAnsi="黑体" w:eastAsia="黑体" w:cs="黑体"/>
          <w:sz w:val="32"/>
          <w:szCs w:val="32"/>
        </w:rPr>
        <w:t>第 一 章  总则</w:t>
      </w:r>
      <w:bookmarkEnd w:id="1"/>
    </w:p>
    <w:p w14:paraId="2EB3C3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2AB7D8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为规范</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(以下简称“交易所”)风险管理业务的行为，维护正常交易秩序，保障参与各方的合法权益，根据国家有关法律、法规制定本管理办法。</w:t>
      </w:r>
    </w:p>
    <w:p w14:paraId="1D3A95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本办法中所述风险管理，是指交易所对交易平台各项业务进行实时监控，对发生的风险进行识别与处理的管理行为。</w:t>
      </w:r>
    </w:p>
    <w:p w14:paraId="7B6A64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本管理办法适用于交易所全体市场参与企业及其有关工作人员。</w:t>
      </w:r>
    </w:p>
    <w:p w14:paraId="2D796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1178C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2" w:name="_Toc15991"/>
      <w:r>
        <w:rPr>
          <w:rFonts w:hint="eastAsia" w:ascii="黑体" w:hAnsi="黑体" w:eastAsia="黑体" w:cs="黑体"/>
          <w:kern w:val="2"/>
          <w:sz w:val="32"/>
          <w:szCs w:val="32"/>
          <w:lang w:val="en-US" w:eastAsia="zh-CN" w:bidi="ar-SA"/>
        </w:rPr>
        <w:t>第二章</w:t>
      </w:r>
      <w:r>
        <w:rPr>
          <w:rFonts w:hint="eastAsia" w:ascii="黑体" w:hAnsi="黑体" w:eastAsia="黑体" w:cs="黑体"/>
          <w:sz w:val="32"/>
          <w:szCs w:val="32"/>
        </w:rPr>
        <w:t xml:space="preserve"> 风险管理的原则</w:t>
      </w:r>
      <w:bookmarkEnd w:id="2"/>
    </w:p>
    <w:p w14:paraId="425282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1D6EEE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第四条</w:t>
      </w:r>
      <w:r>
        <w:rPr>
          <w:rFonts w:hint="eastAsia" w:ascii="仿宋" w:hAnsi="仿宋" w:eastAsia="仿宋" w:cs="仿宋"/>
          <w:sz w:val="32"/>
          <w:szCs w:val="32"/>
        </w:rPr>
        <w:t xml:space="preserve"> 平等原则，交易平台的所有市场参与企业在交易所风险管理的适用上一律平等。</w:t>
      </w:r>
    </w:p>
    <w:p w14:paraId="4A04B6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第五条</w:t>
      </w:r>
      <w:r>
        <w:rPr>
          <w:rFonts w:hint="eastAsia" w:ascii="仿宋" w:hAnsi="仿宋" w:eastAsia="仿宋" w:cs="仿宋"/>
          <w:sz w:val="32"/>
          <w:szCs w:val="32"/>
        </w:rPr>
        <w:t xml:space="preserve"> 揭示原则，是指适用于本规范规定的业务行为，交易所主要采取充分揭示风险、提前及时预警等方式进行处理，用以提前化解风险，但违反法律法规的情形除外。</w:t>
      </w:r>
    </w:p>
    <w:p w14:paraId="2EAE45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第六条</w:t>
      </w:r>
      <w:r>
        <w:rPr>
          <w:rFonts w:hint="eastAsia" w:ascii="仿宋" w:hAnsi="仿宋" w:eastAsia="仿宋" w:cs="仿宋"/>
          <w:sz w:val="32"/>
          <w:szCs w:val="32"/>
        </w:rPr>
        <w:t xml:space="preserve"> 限制原则，是指交易所在业务运行的整个流程环节中视风险情况的紧急程度，有权参照下文规定采取限制性措施以提前规避风险、化解风险、转移风险、降低风险造成的损失等。</w:t>
      </w:r>
    </w:p>
    <w:p w14:paraId="1A6ED4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96717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34C16B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3" w:name="_Toc14950"/>
      <w:r>
        <w:rPr>
          <w:rFonts w:hint="eastAsia" w:ascii="黑体" w:hAnsi="黑体" w:eastAsia="黑体" w:cs="黑体"/>
          <w:kern w:val="2"/>
          <w:sz w:val="32"/>
          <w:szCs w:val="32"/>
          <w:lang w:val="en-US" w:eastAsia="zh-CN" w:bidi="ar-SA"/>
        </w:rPr>
        <w:t>第三章</w:t>
      </w:r>
      <w:r>
        <w:rPr>
          <w:rFonts w:hint="eastAsia" w:ascii="黑体" w:hAnsi="黑体" w:eastAsia="黑体" w:cs="黑体"/>
          <w:sz w:val="32"/>
          <w:szCs w:val="32"/>
        </w:rPr>
        <w:t xml:space="preserve"> 履约订金管理制度</w:t>
      </w:r>
      <w:bookmarkEnd w:id="3"/>
    </w:p>
    <w:p w14:paraId="512FA1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220291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第七条</w:t>
      </w:r>
      <w:r>
        <w:rPr>
          <w:rFonts w:hint="eastAsia" w:ascii="仿宋" w:hAnsi="仿宋" w:eastAsia="仿宋" w:cs="仿宋"/>
          <w:sz w:val="32"/>
          <w:szCs w:val="32"/>
        </w:rPr>
        <w:t xml:space="preserve"> 交易所实行履约订金制度，现货交易交收业务履约订金</w:t>
      </w:r>
      <w:r>
        <w:rPr>
          <w:rFonts w:hint="eastAsia" w:ascii="仿宋" w:hAnsi="仿宋" w:eastAsia="仿宋" w:cs="仿宋"/>
          <w:sz w:val="32"/>
          <w:szCs w:val="32"/>
          <w:lang w:val="en-US" w:eastAsia="zh-CN"/>
        </w:rPr>
        <w:t>的</w:t>
      </w:r>
      <w:r>
        <w:rPr>
          <w:rFonts w:hint="eastAsia" w:ascii="仿宋" w:hAnsi="仿宋" w:eastAsia="仿宋" w:cs="仿宋"/>
          <w:sz w:val="32"/>
          <w:szCs w:val="32"/>
        </w:rPr>
        <w:t>占用标准为成交金额的一定</w:t>
      </w:r>
      <w:r>
        <w:rPr>
          <w:rFonts w:hint="eastAsia" w:ascii="仿宋" w:hAnsi="仿宋" w:eastAsia="仿宋" w:cs="仿宋"/>
          <w:sz w:val="32"/>
          <w:szCs w:val="32"/>
          <w:lang w:val="en-US" w:eastAsia="zh-CN"/>
        </w:rPr>
        <w:t>比例</w:t>
      </w:r>
      <w:r>
        <w:rPr>
          <w:rFonts w:hint="eastAsia" w:ascii="仿宋" w:hAnsi="仿宋" w:eastAsia="仿宋" w:cs="仿宋"/>
          <w:sz w:val="32"/>
          <w:szCs w:val="32"/>
        </w:rPr>
        <w:t>，具体标准参照交易所发布的相关规则、业务参数表以及公告。</w:t>
      </w:r>
    </w:p>
    <w:p w14:paraId="78CD1C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第八条</w:t>
      </w:r>
      <w:r>
        <w:rPr>
          <w:rFonts w:hint="eastAsia" w:ascii="仿宋" w:hAnsi="仿宋" w:eastAsia="仿宋" w:cs="仿宋"/>
          <w:sz w:val="32"/>
          <w:szCs w:val="32"/>
        </w:rPr>
        <w:t xml:space="preserve"> 履约订金指市场参与企业为了承担交易交收履约责任、防范交易及其他风险，在交易所指定的资金账户中留存的资金。根据业务性质分为交易履约订金、交收履约订金和开票履约订金。</w:t>
      </w:r>
    </w:p>
    <w:p w14:paraId="2ED6413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履约订金，是指在现货交易业务中能够达成交易且保障市场参与企业按照交易规则进行履约需要占用的资金。冻结交易履约订金是指为了确保已通过交易平台发布挂牌、摘牌或其他交易操作申请的市场参与企业，在达到指定成交条件后成功成交，由系统自动冻结的交易履约订金金额；</w:t>
      </w:r>
    </w:p>
    <w:p w14:paraId="48E5704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交收履约订金，是指在现货交收业务中为了保障交收双方履约而占用的资金，同时作为保障履约双方在无法履约的情况下进行违约扣划的资金；</w:t>
      </w:r>
    </w:p>
    <w:p w14:paraId="7DB9881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开票履约订金，是指在现货交收业务中为了保障卖方向买方按时开具发票并向买方交付以完成整个现货交收业务流程 而占用的资金，开票履约订金一般按照卖方收到合同货款的一定比例占用。</w:t>
      </w:r>
    </w:p>
    <w:p w14:paraId="25F08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第九条</w:t>
      </w:r>
      <w:r>
        <w:rPr>
          <w:rFonts w:hint="eastAsia" w:ascii="仿宋" w:hAnsi="仿宋" w:eastAsia="仿宋" w:cs="仿宋"/>
          <w:sz w:val="32"/>
          <w:szCs w:val="32"/>
        </w:rPr>
        <w:t xml:space="preserve"> 交易所不同品种及业务模式的履约订金标准详见交易所发布的各品种的《业务参数表》。</w:t>
      </w:r>
    </w:p>
    <w:p w14:paraId="5DD06B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第十条</w:t>
      </w:r>
      <w:r>
        <w:rPr>
          <w:rFonts w:hint="eastAsia" w:ascii="仿宋" w:hAnsi="仿宋" w:eastAsia="仿宋" w:cs="仿宋"/>
          <w:sz w:val="32"/>
          <w:szCs w:val="32"/>
        </w:rPr>
        <w:t xml:space="preserve"> 现货交易交收的过程中，交易所有权在出现下列任一情形时根据市场风险情况调整履约订金的标准：</w:t>
      </w:r>
    </w:p>
    <w:p w14:paraId="35D36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市场订单或合同持有量达到一定数量时；</w:t>
      </w:r>
    </w:p>
    <w:p w14:paraId="3B20E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价格波动幅度或持续时间达到一定标准时；</w:t>
      </w:r>
    </w:p>
    <w:p w14:paraId="4A03A5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遇国家法定的节假日时；</w:t>
      </w:r>
    </w:p>
    <w:p w14:paraId="75409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交易所认为市场风险明显变化时；</w:t>
      </w:r>
    </w:p>
    <w:p w14:paraId="4424F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交易所认为必要的其他情形。</w:t>
      </w:r>
    </w:p>
    <w:p w14:paraId="1A3F08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第十一条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易所根据市场情形决定调整履约订金标准之前，应当提前通过交易所交易平台、网站或其他方式予以公告或通知。若交易所决定核算后调整履约订金的，下一交易日起对相关产品的所有合同及订单按照调整后的履约订金标准进行计算。</w:t>
      </w:r>
    </w:p>
    <w:p w14:paraId="6411EF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第十二条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若由于价格变动或履约订金标准的提高，造成可用资金为负的情况，市场参与企业应及时补足资金。若在交易所发出补足履约订金的通知后1个交易日内，市场参与企业仍没有及时补足资金而造成账户风险的，交易所有权对其持有的订单或合同执行强行了结以降低风险。</w:t>
      </w:r>
    </w:p>
    <w:p w14:paraId="1A494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05761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4" w:name="_Toc29908"/>
      <w:r>
        <w:rPr>
          <w:rFonts w:hint="eastAsia" w:ascii="黑体" w:hAnsi="黑体" w:eastAsia="黑体" w:cs="黑体"/>
          <w:kern w:val="2"/>
          <w:sz w:val="32"/>
          <w:szCs w:val="32"/>
          <w:lang w:val="en-US" w:eastAsia="zh-CN" w:bidi="ar-SA"/>
        </w:rPr>
        <w:t>第四章</w:t>
      </w:r>
      <w:r>
        <w:rPr>
          <w:rFonts w:hint="eastAsia" w:ascii="黑体" w:hAnsi="黑体" w:eastAsia="黑体" w:cs="黑体"/>
          <w:sz w:val="32"/>
          <w:szCs w:val="32"/>
        </w:rPr>
        <w:t>交易限额制度</w:t>
      </w:r>
      <w:bookmarkEnd w:id="4"/>
    </w:p>
    <w:p w14:paraId="34849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3F502B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bookmarkStart w:id="5" w:name="_Toc2950"/>
      <w:r>
        <w:rPr>
          <w:rFonts w:hint="eastAsia" w:ascii="楷体" w:hAnsi="楷体" w:eastAsia="楷体" w:cs="楷体"/>
          <w:b/>
          <w:bCs/>
          <w:sz w:val="32"/>
          <w:szCs w:val="32"/>
        </w:rPr>
        <w:t>第十三条</w:t>
      </w:r>
      <w:r>
        <w:rPr>
          <w:rFonts w:hint="eastAsia" w:ascii="仿宋" w:hAnsi="仿宋" w:eastAsia="仿宋" w:cs="仿宋"/>
          <w:sz w:val="32"/>
          <w:szCs w:val="32"/>
        </w:rPr>
        <w:t xml:space="preserve"> 交易所实行交易限额制度，限额制度包括：</w:t>
      </w:r>
      <w:bookmarkEnd w:id="5"/>
    </w:p>
    <w:p w14:paraId="5E724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单次交易限额制度；</w:t>
      </w:r>
    </w:p>
    <w:p w14:paraId="5219A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累计持有限额制度。</w:t>
      </w:r>
    </w:p>
    <w:p w14:paraId="6612AC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第十四条</w:t>
      </w:r>
      <w:r>
        <w:rPr>
          <w:rFonts w:hint="eastAsia" w:ascii="仿宋" w:hAnsi="仿宋" w:eastAsia="仿宋" w:cs="仿宋"/>
          <w:sz w:val="32"/>
          <w:szCs w:val="32"/>
        </w:rPr>
        <w:t xml:space="preserve"> 单次交易限额制度是指市场参与企业交易的单次最大交易量不得超过交易所规定的标准。</w:t>
      </w:r>
    </w:p>
    <w:p w14:paraId="501836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rPr>
      </w:pPr>
      <w:bookmarkStart w:id="6" w:name="_Toc17263"/>
      <w:r>
        <w:rPr>
          <w:rFonts w:hint="eastAsia" w:ascii="楷体" w:hAnsi="楷体" w:eastAsia="楷体" w:cs="楷体"/>
          <w:b/>
          <w:bCs/>
          <w:sz w:val="32"/>
          <w:szCs w:val="32"/>
        </w:rPr>
        <w:t>第十五条</w:t>
      </w:r>
      <w:r>
        <w:rPr>
          <w:rFonts w:hint="eastAsia" w:ascii="仿宋" w:hAnsi="仿宋" w:eastAsia="仿宋" w:cs="仿宋"/>
          <w:sz w:val="32"/>
          <w:szCs w:val="32"/>
        </w:rPr>
        <w:t xml:space="preserve"> 累计持有限额制度是指：</w:t>
      </w:r>
      <w:bookmarkEnd w:id="6"/>
    </w:p>
    <w:p w14:paraId="25840C9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市场参与企业在某产品上累计最大持有的订单或合同量不得超过交易所规定的标准。市场参与企业在某一产品达到最大持有量时，不得再对该产品进行交易；</w:t>
      </w:r>
    </w:p>
    <w:p w14:paraId="33AEDA5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市场参与企业在某产品上的最大净持有的订单或合同量不得超过交易所规定的标准。市场参与企业在某一产品达到最大净持有量时，不得再对该产品进行与净持有同向的交易；</w:t>
      </w:r>
    </w:p>
    <w:p w14:paraId="4C00BB7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当市场参与企业某一产品订单或合同的持有量超过交易所规定的标准，则市场参与企业应当及时调整持有量，未按规定调整的交易所有权对其不满足要求的订单或合同采取风险警示、限时转让、强行了结等措施。</w:t>
      </w:r>
    </w:p>
    <w:p w14:paraId="33EAD4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第十六条 </w:t>
      </w:r>
      <w:r>
        <w:rPr>
          <w:rFonts w:hint="eastAsia" w:ascii="仿宋" w:hAnsi="仿宋" w:eastAsia="仿宋" w:cs="仿宋"/>
          <w:sz w:val="32"/>
          <w:szCs w:val="32"/>
        </w:rPr>
        <w:t>交易所有权对多个具有实际控制关联关系的账户组(以下简称“关联账户组”)进行认定。关联账户组是指由一个或多个主体单独或共同实际控制，并对</w:t>
      </w:r>
      <w:r>
        <w:rPr>
          <w:rFonts w:hint="eastAsia" w:ascii="仿宋" w:hAnsi="仿宋" w:eastAsia="仿宋" w:cs="仿宋"/>
          <w:sz w:val="32"/>
          <w:szCs w:val="32"/>
          <w:lang w:val="en-US" w:eastAsia="zh-CN"/>
        </w:rPr>
        <w:t>其</w:t>
      </w:r>
      <w:r>
        <w:rPr>
          <w:rFonts w:hint="eastAsia" w:ascii="仿宋" w:hAnsi="仿宋" w:eastAsia="仿宋" w:cs="仿宋"/>
          <w:sz w:val="32"/>
          <w:szCs w:val="32"/>
        </w:rPr>
        <w:t>具有管理、使用、控制、收益或处分等权限</w:t>
      </w:r>
      <w:r>
        <w:rPr>
          <w:rFonts w:hint="eastAsia" w:ascii="仿宋" w:hAnsi="仿宋" w:eastAsia="仿宋" w:cs="仿宋"/>
          <w:sz w:val="32"/>
          <w:szCs w:val="32"/>
          <w:lang w:val="en-US" w:eastAsia="zh-CN"/>
        </w:rPr>
        <w:t>的</w:t>
      </w:r>
      <w:r>
        <w:rPr>
          <w:rFonts w:hint="eastAsia" w:ascii="仿宋" w:hAnsi="仿宋" w:eastAsia="仿宋" w:cs="仿宋"/>
          <w:sz w:val="32"/>
          <w:szCs w:val="32"/>
        </w:rPr>
        <w:t>多个交易账户</w:t>
      </w:r>
      <w:r>
        <w:rPr>
          <w:rFonts w:hint="eastAsia" w:ascii="仿宋" w:hAnsi="仿宋" w:eastAsia="仿宋" w:cs="仿宋"/>
          <w:sz w:val="32"/>
          <w:szCs w:val="32"/>
          <w:lang w:val="en-US" w:eastAsia="zh-CN"/>
        </w:rPr>
        <w:t>所形成的组合</w:t>
      </w:r>
      <w:r>
        <w:rPr>
          <w:rFonts w:hint="eastAsia" w:ascii="仿宋" w:hAnsi="仿宋" w:eastAsia="仿宋" w:cs="仿宋"/>
          <w:sz w:val="32"/>
          <w:szCs w:val="32"/>
        </w:rPr>
        <w:t>，</w:t>
      </w:r>
      <w:r>
        <w:rPr>
          <w:rFonts w:hint="eastAsia" w:ascii="仿宋" w:hAnsi="仿宋" w:eastAsia="仿宋" w:cs="仿宋"/>
          <w:sz w:val="32"/>
          <w:szCs w:val="32"/>
          <w:lang w:val="en-US" w:eastAsia="zh-CN"/>
        </w:rPr>
        <w:t>该等主体</w:t>
      </w:r>
      <w:r>
        <w:rPr>
          <w:rFonts w:hint="eastAsia" w:ascii="仿宋" w:hAnsi="仿宋" w:eastAsia="仿宋" w:cs="仿宋"/>
          <w:sz w:val="32"/>
          <w:szCs w:val="32"/>
        </w:rPr>
        <w:t>对其他主体的交易决策拥有决定权或控制权。同一或多个市场参与企业存在关联账户组，有意规避交易所持有限额的，交易所有权对该等账户采取合计限额标准。</w:t>
      </w:r>
    </w:p>
    <w:p w14:paraId="5AD31D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sz w:val="32"/>
          <w:szCs w:val="32"/>
          <w:lang w:val="en-US" w:eastAsia="zh-CN"/>
        </w:rPr>
      </w:pPr>
      <w:bookmarkStart w:id="7" w:name="_Toc32231"/>
      <w:r>
        <w:rPr>
          <w:rFonts w:hint="eastAsia" w:ascii="楷体" w:hAnsi="楷体" w:eastAsia="楷体" w:cs="楷体"/>
          <w:b/>
          <w:bCs/>
          <w:sz w:val="32"/>
          <w:szCs w:val="32"/>
        </w:rPr>
        <w:t>第十七条</w:t>
      </w:r>
      <w:r>
        <w:rPr>
          <w:rFonts w:hint="eastAsia" w:ascii="仿宋" w:hAnsi="仿宋" w:eastAsia="仿宋" w:cs="仿宋"/>
          <w:sz w:val="32"/>
          <w:szCs w:val="32"/>
        </w:rPr>
        <w:t xml:space="preserve"> 交易所有权根据市场情形对上述标准进行相应调整</w:t>
      </w:r>
      <w:r>
        <w:rPr>
          <w:rFonts w:hint="eastAsia" w:ascii="仿宋" w:hAnsi="仿宋" w:eastAsia="仿宋" w:cs="仿宋"/>
          <w:sz w:val="32"/>
          <w:szCs w:val="32"/>
          <w:lang w:eastAsia="zh-CN"/>
        </w:rPr>
        <w:t>。</w:t>
      </w:r>
      <w:bookmarkEnd w:id="7"/>
    </w:p>
    <w:p w14:paraId="770E58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9A00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8" w:name="_Toc25949"/>
      <w:r>
        <w:rPr>
          <w:rFonts w:hint="eastAsia" w:ascii="黑体" w:hAnsi="黑体" w:eastAsia="黑体" w:cs="黑体"/>
          <w:kern w:val="2"/>
          <w:sz w:val="32"/>
          <w:szCs w:val="32"/>
          <w:lang w:val="en-US" w:eastAsia="zh-CN" w:bidi="ar-SA"/>
        </w:rPr>
        <w:t>第五章</w:t>
      </w:r>
      <w:r>
        <w:rPr>
          <w:rFonts w:hint="eastAsia" w:ascii="黑体" w:hAnsi="黑体" w:eastAsia="黑体" w:cs="黑体"/>
          <w:sz w:val="32"/>
          <w:szCs w:val="32"/>
        </w:rPr>
        <w:t>价格涨跌幅限制制度</w:t>
      </w:r>
      <w:bookmarkEnd w:id="8"/>
    </w:p>
    <w:p w14:paraId="3BCFA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0F5990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第十八条</w:t>
      </w:r>
      <w:r>
        <w:rPr>
          <w:rFonts w:hint="eastAsia" w:ascii="仿宋" w:hAnsi="仿宋" w:eastAsia="仿宋" w:cs="仿宋"/>
          <w:sz w:val="32"/>
          <w:szCs w:val="32"/>
        </w:rPr>
        <w:t xml:space="preserve"> 交易所对产品成交价格最大涨跌幅实施限制制度，交易平台交易价格不得超出(高于最高或者低于最低)当前实施的涨跌幅限制，超过该涨跌幅限制的报价申请将被视为无效</w:t>
      </w:r>
      <w:r>
        <w:rPr>
          <w:rFonts w:hint="eastAsia" w:ascii="仿宋" w:hAnsi="仿宋" w:eastAsia="仿宋" w:cs="仿宋"/>
          <w:sz w:val="32"/>
          <w:szCs w:val="32"/>
          <w:lang w:eastAsia="zh-CN"/>
        </w:rPr>
        <w:t>，</w:t>
      </w:r>
      <w:r>
        <w:rPr>
          <w:rFonts w:hint="eastAsia" w:ascii="仿宋" w:hAnsi="仿宋" w:eastAsia="仿宋" w:cs="仿宋"/>
          <w:sz w:val="32"/>
          <w:szCs w:val="32"/>
        </w:rPr>
        <w:t>不能成交，具体标准见各产品《业务参数表》。</w:t>
      </w:r>
    </w:p>
    <w:p w14:paraId="478357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第十九条</w:t>
      </w:r>
      <w:r>
        <w:rPr>
          <w:rFonts w:hint="eastAsia" w:ascii="仿宋" w:hAnsi="仿宋" w:eastAsia="仿宋" w:cs="仿宋"/>
          <w:sz w:val="32"/>
          <w:szCs w:val="32"/>
        </w:rPr>
        <w:t xml:space="preserve"> 当交易过程中出现下列情况时，交易所可以根据市场风险情况调整价格涨跌幅限制：</w:t>
      </w:r>
    </w:p>
    <w:p w14:paraId="7B4D030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交易平台价格涨跌幅限制已明显脱离现货市场实际情况时；</w:t>
      </w:r>
    </w:p>
    <w:p w14:paraId="57EB4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购销出现同方向连续多日达到涨跌幅限制时；</w:t>
      </w:r>
    </w:p>
    <w:p w14:paraId="1272E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遇国家法定节假日时；</w:t>
      </w:r>
    </w:p>
    <w:p w14:paraId="2F815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交易所认为市场风险明显变化时；</w:t>
      </w:r>
    </w:p>
    <w:p w14:paraId="33722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交易所认定的其他情况。</w:t>
      </w:r>
    </w:p>
    <w:p w14:paraId="7EB158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第二十条</w:t>
      </w:r>
      <w:r>
        <w:rPr>
          <w:rFonts w:hint="eastAsia" w:ascii="仿宋" w:hAnsi="仿宋" w:eastAsia="仿宋" w:cs="仿宋"/>
          <w:sz w:val="32"/>
          <w:szCs w:val="32"/>
        </w:rPr>
        <w:t xml:space="preserve"> 交易所根据市场情形决定做出上述调整之前，通过交易所官方渠道发布公告。</w:t>
      </w:r>
    </w:p>
    <w:p w14:paraId="7F4437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21C0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kern w:val="2"/>
          <w:sz w:val="32"/>
          <w:szCs w:val="32"/>
          <w:lang w:val="en-US" w:eastAsia="zh-CN" w:bidi="ar-SA"/>
        </w:rPr>
      </w:pPr>
    </w:p>
    <w:p w14:paraId="21D2FE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kern w:val="2"/>
          <w:sz w:val="32"/>
          <w:szCs w:val="32"/>
          <w:lang w:val="en-US" w:eastAsia="zh-CN" w:bidi="ar-SA"/>
        </w:rPr>
      </w:pPr>
    </w:p>
    <w:p w14:paraId="38B7D2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9" w:name="_Toc29199"/>
      <w:r>
        <w:rPr>
          <w:rFonts w:hint="eastAsia" w:ascii="黑体" w:hAnsi="黑体" w:eastAsia="黑体" w:cs="黑体"/>
          <w:kern w:val="2"/>
          <w:sz w:val="32"/>
          <w:szCs w:val="32"/>
          <w:lang w:val="en-US" w:eastAsia="zh-CN" w:bidi="ar-SA"/>
        </w:rPr>
        <w:t>第六章</w:t>
      </w:r>
      <w:r>
        <w:rPr>
          <w:rFonts w:hint="eastAsia" w:ascii="黑体" w:hAnsi="黑体" w:eastAsia="黑体" w:cs="黑体"/>
          <w:sz w:val="32"/>
          <w:szCs w:val="32"/>
        </w:rPr>
        <w:t xml:space="preserve"> 强行了结制度</w:t>
      </w:r>
      <w:bookmarkEnd w:id="9"/>
    </w:p>
    <w:p w14:paraId="1763C4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08989A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第二十一条 </w:t>
      </w:r>
      <w:r>
        <w:rPr>
          <w:rFonts w:hint="eastAsia" w:ascii="仿宋" w:hAnsi="仿宋" w:eastAsia="仿宋" w:cs="仿宋"/>
          <w:sz w:val="32"/>
          <w:szCs w:val="32"/>
        </w:rPr>
        <w:t>交易所实行强行了结制度。出现以下情形的，交易所将有权强行了结市场参与企业部分或全部持有的订单或合同：</w:t>
      </w:r>
    </w:p>
    <w:p w14:paraId="69F1B2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当市场参与企业履约订金不足时，未按照规定及时追加履约保证金等情形，则交易所有权对其部分或全部持仓采取强行了结操作；</w:t>
      </w:r>
    </w:p>
    <w:p w14:paraId="6496A5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因市场参与企业出现交易异常行为受到交易所强行了结处罚的；</w:t>
      </w:r>
    </w:p>
    <w:p w14:paraId="6FC6795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根据交易所紧急措施应进行强行了结的；</w:t>
      </w:r>
    </w:p>
    <w:p w14:paraId="2C727B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其他交易所认为应予强行了结的情形。</w:t>
      </w:r>
    </w:p>
    <w:p w14:paraId="57909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D420E7B">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0" w:name="_Toc11176"/>
      <w:r>
        <w:rPr>
          <w:rFonts w:hint="eastAsia" w:ascii="黑体" w:hAnsi="黑体" w:eastAsia="黑体" w:cs="黑体"/>
          <w:sz w:val="32"/>
          <w:szCs w:val="32"/>
        </w:rPr>
        <w:t>风险警示制度</w:t>
      </w:r>
      <w:bookmarkEnd w:id="10"/>
    </w:p>
    <w:p w14:paraId="347FA9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7BE2F8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条</w:t>
      </w:r>
      <w:r>
        <w:rPr>
          <w:rFonts w:hint="eastAsia" w:ascii="仿宋" w:hAnsi="仿宋" w:eastAsia="仿宋" w:cs="仿宋"/>
          <w:sz w:val="32"/>
          <w:szCs w:val="32"/>
        </w:rPr>
        <w:t xml:space="preserve"> 交易所实行风险警示制度。当交易所认为必要时，有权分别或同时采取要求报告情况、谈话提醒、书面警示、公开谴责、发布风险警示公告等措施中的一种或多种，以警示和化解风险。</w:t>
      </w:r>
    </w:p>
    <w:p w14:paraId="01D840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条</w:t>
      </w:r>
      <w:r>
        <w:rPr>
          <w:rFonts w:hint="eastAsia" w:ascii="仿宋" w:hAnsi="仿宋" w:eastAsia="仿宋" w:cs="仿宋"/>
          <w:sz w:val="32"/>
          <w:szCs w:val="32"/>
        </w:rPr>
        <w:t xml:space="preserve"> 出现下列异常情形之一的</w:t>
      </w:r>
      <w:r>
        <w:rPr>
          <w:rFonts w:hint="eastAsia" w:ascii="仿宋" w:hAnsi="仿宋" w:eastAsia="仿宋" w:cs="仿宋"/>
          <w:sz w:val="32"/>
          <w:szCs w:val="32"/>
          <w:lang w:eastAsia="zh-CN"/>
        </w:rPr>
        <w:t>，</w:t>
      </w:r>
      <w:r>
        <w:rPr>
          <w:rFonts w:hint="eastAsia" w:ascii="仿宋" w:hAnsi="仿宋" w:eastAsia="仿宋" w:cs="仿宋"/>
          <w:sz w:val="32"/>
          <w:szCs w:val="32"/>
        </w:rPr>
        <w:t>交易所可以约见指定的市场参与企业高管人员、下属机构相关负责人以及相关的工作人员谈话提醒风险，或要求市场参与企业报告情况：</w:t>
      </w:r>
    </w:p>
    <w:p w14:paraId="06CB1B1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outlineLvl w:val="1"/>
        <w:rPr>
          <w:rFonts w:hint="eastAsia" w:ascii="仿宋" w:hAnsi="仿宋" w:eastAsia="仿宋" w:cs="仿宋"/>
          <w:sz w:val="32"/>
          <w:szCs w:val="32"/>
          <w:lang w:eastAsia="zh-CN"/>
        </w:rPr>
      </w:pPr>
      <w:bookmarkStart w:id="11" w:name="_Toc9470"/>
      <w:r>
        <w:rPr>
          <w:rFonts w:hint="eastAsia" w:ascii="仿宋" w:hAnsi="仿宋" w:eastAsia="仿宋" w:cs="仿宋"/>
          <w:sz w:val="32"/>
          <w:szCs w:val="32"/>
        </w:rPr>
        <w:t>市场参与企业交易申请异常，指交易申请价格出现明显异动等</w:t>
      </w:r>
      <w:r>
        <w:rPr>
          <w:rFonts w:hint="eastAsia" w:ascii="仿宋" w:hAnsi="仿宋" w:eastAsia="仿宋" w:cs="仿宋"/>
          <w:sz w:val="32"/>
          <w:szCs w:val="32"/>
          <w:lang w:eastAsia="zh-CN"/>
        </w:rPr>
        <w:t>；</w:t>
      </w:r>
      <w:bookmarkEnd w:id="11"/>
    </w:p>
    <w:p w14:paraId="4B1B4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1)上市产品的交易申请价格出现大幅度上涨或下跌的；</w:t>
      </w:r>
    </w:p>
    <w:p w14:paraId="218FE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2)上市产品的交易申请价格出现长时间停滞的；</w:t>
      </w:r>
    </w:p>
    <w:p w14:paraId="6836919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3)上市产品的交易申请价格与其他市场同类产品相比出现较大幅度的差异的；</w:t>
      </w:r>
    </w:p>
    <w:p w14:paraId="3612361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outlineLvl w:val="2"/>
        <w:rPr>
          <w:rFonts w:hint="eastAsia" w:ascii="仿宋" w:hAnsi="仿宋" w:eastAsia="仿宋" w:cs="仿宋"/>
          <w:sz w:val="32"/>
          <w:szCs w:val="32"/>
        </w:rPr>
      </w:pPr>
      <w:bookmarkStart w:id="12" w:name="_Toc14087"/>
      <w:r>
        <w:rPr>
          <w:rFonts w:hint="eastAsia" w:ascii="仿宋" w:hAnsi="仿宋" w:eastAsia="仿宋" w:cs="仿宋"/>
          <w:sz w:val="32"/>
          <w:szCs w:val="32"/>
        </w:rPr>
        <w:t>4)上市产品的交易申请价格明显滞后于其他市场同类产品的；</w:t>
      </w:r>
      <w:bookmarkEnd w:id="12"/>
    </w:p>
    <w:p w14:paraId="7F58325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5)通过操控关联市场同类上市产品的价格进而影响本市场交易申请价格的；</w:t>
      </w:r>
    </w:p>
    <w:p w14:paraId="0C531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rPr>
      </w:pPr>
      <w:bookmarkStart w:id="13" w:name="_Toc30073"/>
      <w:r>
        <w:rPr>
          <w:rFonts w:hint="eastAsia" w:ascii="仿宋" w:hAnsi="仿宋" w:eastAsia="仿宋" w:cs="仿宋"/>
          <w:sz w:val="32"/>
          <w:szCs w:val="32"/>
        </w:rPr>
        <w:t>6)交易所认定上市产品交易申请价格异动的其他情形。</w:t>
      </w:r>
      <w:bookmarkEnd w:id="13"/>
    </w:p>
    <w:p w14:paraId="450ED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sz w:val="32"/>
          <w:szCs w:val="32"/>
        </w:rPr>
      </w:pPr>
      <w:bookmarkStart w:id="14" w:name="_Toc20591"/>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市场参与企业账户异常</w:t>
      </w:r>
      <w:bookmarkEnd w:id="14"/>
    </w:p>
    <w:p w14:paraId="5532B70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1)市场参与企业在办理入市时非本机构或交易所规定允许的机构亲自办理的；</w:t>
      </w:r>
    </w:p>
    <w:p w14:paraId="5B91342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2)市场参与企业的申请资料或签署的文件非本机构或交易所规定允许的机构亲自签署；</w:t>
      </w:r>
    </w:p>
    <w:p w14:paraId="0C43082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3)市场参与企业拒绝、不配合交易所电话回访，或者在回访时无法提供准确信息的；</w:t>
      </w:r>
    </w:p>
    <w:p w14:paraId="1CDABB3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4)两个或两个以上主体办理入市时使用同一 IP 地址或 IP地址虽不尽相同但属于同一物理地址的；</w:t>
      </w:r>
    </w:p>
    <w:p w14:paraId="000071E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5)两个或两个以上主体办理入市时提供的信息不同但使用同一电话或有其他关联要素提示交易账户持有主体间具有关联关系的；</w:t>
      </w:r>
    </w:p>
    <w:p w14:paraId="570C1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6)市场参与企业办理入市时留有信息存在虚假信息的；</w:t>
      </w:r>
    </w:p>
    <w:p w14:paraId="74783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7)交易所认定市场参与企业开立账户存在异常的其他情形。</w:t>
      </w:r>
    </w:p>
    <w:p w14:paraId="75DA9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sz w:val="32"/>
          <w:szCs w:val="32"/>
        </w:rPr>
      </w:pPr>
      <w:bookmarkStart w:id="15" w:name="_Toc24794"/>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市场参与企业交易异常</w:t>
      </w:r>
      <w:bookmarkEnd w:id="15"/>
    </w:p>
    <w:p w14:paraId="6C05E95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1)市场参与企业在短时间内频繁进行交易申请和撤销，操作时间间隔极短；</w:t>
      </w:r>
    </w:p>
    <w:p w14:paraId="69E09AF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2)市场参与企业单次交易或交易申请量达到交易所限额，单 次交易或交易申请量达到交易所规定单次限额80%以上的；</w:t>
      </w:r>
    </w:p>
    <w:p w14:paraId="20B43C7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3)关联账户组的交易或交易申请在成交产品、成交方向、 成交价格、成交数量、成交时间中一项或多项指标基本一致或相反的；</w:t>
      </w:r>
    </w:p>
    <w:p w14:paraId="370BA35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4)关联账户组的成交 IP 地址一致或 IP 地址虽不尽相同但属于同一物理地址的；</w:t>
      </w:r>
    </w:p>
    <w:p w14:paraId="2225793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5)关联账户组的登录或退出IP 地址一致或 IP 地址虽不尽相同但属于同一物理地址的；</w:t>
      </w:r>
    </w:p>
    <w:p w14:paraId="668EA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rPr>
      </w:pPr>
      <w:bookmarkStart w:id="16" w:name="_Toc24351"/>
      <w:r>
        <w:rPr>
          <w:rFonts w:hint="eastAsia" w:ascii="仿宋" w:hAnsi="仿宋" w:eastAsia="仿宋" w:cs="仿宋"/>
          <w:sz w:val="32"/>
          <w:szCs w:val="32"/>
        </w:rPr>
        <w:t>6)单一账户单日成交笔数明显异常的；</w:t>
      </w:r>
      <w:bookmarkEnd w:id="16"/>
    </w:p>
    <w:p w14:paraId="7927FF5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7)市场参与企业之间恶意串通进行交易或通过恶意交易损害其他市场参与企业利益的；</w:t>
      </w:r>
    </w:p>
    <w:p w14:paraId="31413F6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8)市场参与企业采用非交易所认可的软件、终端或其他外部接入软件、硬件进行交易的；</w:t>
      </w:r>
    </w:p>
    <w:p w14:paraId="585FD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9)市场参与企业单日盈利或亏损明显异常的；</w:t>
      </w:r>
    </w:p>
    <w:p w14:paraId="05175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10)交易所认定交易异常的其他情形。</w:t>
      </w:r>
    </w:p>
    <w:p w14:paraId="74079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sz w:val="32"/>
          <w:szCs w:val="32"/>
        </w:rPr>
      </w:pPr>
      <w:bookmarkStart w:id="17" w:name="_Toc23408"/>
      <w:r>
        <w:rPr>
          <w:rFonts w:hint="eastAsia" w:ascii="仿宋" w:hAnsi="仿宋" w:eastAsia="仿宋" w:cs="仿宋"/>
          <w:sz w:val="32"/>
          <w:szCs w:val="32"/>
        </w:rPr>
        <w:t>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市场参与企业持有订单或合同异常</w:t>
      </w:r>
      <w:bookmarkEnd w:id="17"/>
    </w:p>
    <w:p w14:paraId="43E6970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1)市场参与企业持有订单或合同达到交易所规定的限额或交易所规定限额的80%以上的；</w:t>
      </w:r>
    </w:p>
    <w:p w14:paraId="756BE62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2)关联账户组的持有订单或合同的产品、持牌时间、持牌数量、持牌方向中一项或多项指标基本一致或相反的；</w:t>
      </w:r>
    </w:p>
    <w:p w14:paraId="40B2302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3)市场参与企业之间进行恶意持有订单或合同规避交易所相关规定的；</w:t>
      </w:r>
    </w:p>
    <w:p w14:paraId="3F5B876D">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4)市场参与企业之间通过恶意持有订单或合同损害其他市场参与者利益的；</w:t>
      </w:r>
    </w:p>
    <w:p w14:paraId="03AAD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rPr>
      </w:pPr>
      <w:bookmarkStart w:id="18" w:name="_Toc12306"/>
      <w:r>
        <w:rPr>
          <w:rFonts w:hint="eastAsia" w:ascii="仿宋" w:hAnsi="仿宋" w:eastAsia="仿宋" w:cs="仿宋"/>
          <w:sz w:val="32"/>
          <w:szCs w:val="32"/>
        </w:rPr>
        <w:t>5)交易所认定市场参与企业异常的其他情形。</w:t>
      </w:r>
      <w:bookmarkEnd w:id="18"/>
    </w:p>
    <w:p w14:paraId="5450E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sz w:val="32"/>
          <w:szCs w:val="32"/>
        </w:rPr>
      </w:pPr>
      <w:bookmarkStart w:id="19" w:name="_Toc2210"/>
      <w:r>
        <w:rPr>
          <w:rFonts w:hint="eastAsia" w:ascii="仿宋" w:hAnsi="仿宋" w:eastAsia="仿宋" w:cs="仿宋"/>
          <w:sz w:val="32"/>
          <w:szCs w:val="32"/>
        </w:rPr>
        <w:t>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市场参与企业资金异常</w:t>
      </w:r>
      <w:bookmarkEnd w:id="19"/>
    </w:p>
    <w:p w14:paraId="69CBBCA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1)市场参与企业的资金在相近的时间内由于非交易的因素而出现较大变动的；</w:t>
      </w:r>
    </w:p>
    <w:p w14:paraId="3F7B8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2)多个账户的一次性入金或出金超过一定金额的；</w:t>
      </w:r>
    </w:p>
    <w:p w14:paraId="49458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3)多个账户的入金或出金时间相近的；</w:t>
      </w:r>
    </w:p>
    <w:p w14:paraId="5879C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4)多个账户同时进行相近金额的入金或出金的；</w:t>
      </w:r>
    </w:p>
    <w:p w14:paraId="24C8A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5)交易所认定市场参与企业资金异常的其他情形。</w:t>
      </w:r>
    </w:p>
    <w:p w14:paraId="66666B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市场参与企业涉嫌违规违约；</w:t>
      </w:r>
    </w:p>
    <w:p w14:paraId="7A1FF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 交易所接到市场参与企业的投诉；</w:t>
      </w:r>
    </w:p>
    <w:p w14:paraId="006BA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 市场参与企业涉及司法调查；</w:t>
      </w:r>
    </w:p>
    <w:p w14:paraId="680E3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 交易所认定的其他情况。</w:t>
      </w:r>
    </w:p>
    <w:p w14:paraId="4B6E18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 xml:space="preserve">条 </w:t>
      </w:r>
      <w:r>
        <w:rPr>
          <w:rFonts w:hint="eastAsia" w:ascii="仿宋" w:hAnsi="仿宋" w:eastAsia="仿宋" w:cs="仿宋"/>
          <w:sz w:val="32"/>
          <w:szCs w:val="32"/>
        </w:rPr>
        <w:t>通过情况报告和谈话，发现市场参与企业有违规嫌疑、持有订单或合同有较大风险的，交易所有权对市场参与企业发出书面的“风险警示函”。</w:t>
      </w:r>
    </w:p>
    <w:p w14:paraId="6D2A79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二十五</w:t>
      </w:r>
      <w:r>
        <w:rPr>
          <w:rFonts w:hint="eastAsia" w:ascii="楷体" w:hAnsi="楷体" w:eastAsia="楷体" w:cs="楷体"/>
          <w:b/>
          <w:bCs/>
          <w:sz w:val="32"/>
          <w:szCs w:val="32"/>
        </w:rPr>
        <w:t>条</w:t>
      </w:r>
      <w:r>
        <w:rPr>
          <w:rFonts w:hint="eastAsia" w:ascii="仿宋" w:hAnsi="仿宋" w:eastAsia="仿宋" w:cs="仿宋"/>
          <w:sz w:val="32"/>
          <w:szCs w:val="32"/>
        </w:rPr>
        <w:t xml:space="preserve"> 发生下列情形之一的，交易所有权在指定的有关媒体上对有关市场参与企业进行公开谴责：</w:t>
      </w:r>
    </w:p>
    <w:p w14:paraId="3C62C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不按交易所要求报告情况和谈话的；</w:t>
      </w:r>
    </w:p>
    <w:p w14:paraId="078F1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故意隐瞒事实，瞒报、错报、漏报重要信息的；</w:t>
      </w:r>
    </w:p>
    <w:p w14:paraId="191BC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故意销毁违规违约证明材料，不配合交易所调查的；</w:t>
      </w:r>
    </w:p>
    <w:p w14:paraId="20E77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经查实存在欺诈行为的；</w:t>
      </w:r>
    </w:p>
    <w:p w14:paraId="44735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经查实有参与操纵价格行为的；</w:t>
      </w:r>
    </w:p>
    <w:p w14:paraId="1ADF9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交易所认定的其他违规行为。</w:t>
      </w:r>
    </w:p>
    <w:p w14:paraId="644304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二十六</w:t>
      </w:r>
      <w:r>
        <w:rPr>
          <w:rFonts w:hint="eastAsia" w:ascii="楷体" w:hAnsi="楷体" w:eastAsia="楷体" w:cs="楷体"/>
          <w:b/>
          <w:bCs/>
          <w:sz w:val="32"/>
          <w:szCs w:val="32"/>
        </w:rPr>
        <w:t>条</w:t>
      </w:r>
      <w:r>
        <w:rPr>
          <w:rFonts w:hint="eastAsia" w:ascii="仿宋" w:hAnsi="仿宋" w:eastAsia="仿宋" w:cs="仿宋"/>
          <w:sz w:val="32"/>
          <w:szCs w:val="32"/>
        </w:rPr>
        <w:t xml:space="preserve"> 交易所对相关市场参与企业进行公开谴责的同时对其违规行为，按交易所有关管理制度处理。</w:t>
      </w:r>
    </w:p>
    <w:p w14:paraId="56ADF9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二十七</w:t>
      </w:r>
      <w:r>
        <w:rPr>
          <w:rFonts w:hint="eastAsia" w:ascii="楷体" w:hAnsi="楷体" w:eastAsia="楷体" w:cs="楷体"/>
          <w:b/>
          <w:bCs/>
          <w:sz w:val="32"/>
          <w:szCs w:val="32"/>
        </w:rPr>
        <w:t>条</w:t>
      </w:r>
      <w:r>
        <w:rPr>
          <w:rFonts w:hint="eastAsia" w:ascii="仿宋" w:hAnsi="仿宋" w:eastAsia="仿宋" w:cs="仿宋"/>
          <w:sz w:val="32"/>
          <w:szCs w:val="32"/>
        </w:rPr>
        <w:t xml:space="preserve"> 发生下列情形之一的，交易所有权发出风险警示公告，向全体市场参与企业警示风险：</w:t>
      </w:r>
    </w:p>
    <w:p w14:paraId="44DEB46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交易价格出现异常时；</w:t>
      </w:r>
    </w:p>
    <w:p w14:paraId="32C7940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交易成交价格和相关市场出现较大差距时；</w:t>
      </w:r>
    </w:p>
    <w:p w14:paraId="3BCA937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交易所认定的其他情况。</w:t>
      </w:r>
    </w:p>
    <w:p w14:paraId="25000F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2FD078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20" w:name="_Toc8700"/>
      <w:r>
        <w:rPr>
          <w:rFonts w:hint="eastAsia" w:ascii="黑体" w:hAnsi="黑体" w:eastAsia="黑体" w:cs="黑体"/>
          <w:sz w:val="32"/>
          <w:szCs w:val="32"/>
        </w:rPr>
        <w:t>异常情形管理制度</w:t>
      </w:r>
      <w:bookmarkEnd w:id="20"/>
    </w:p>
    <w:p w14:paraId="3F96C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602821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二十八</w:t>
      </w:r>
      <w:r>
        <w:rPr>
          <w:rFonts w:hint="eastAsia" w:ascii="楷体" w:hAnsi="楷体" w:eastAsia="楷体" w:cs="楷体"/>
          <w:b/>
          <w:bCs/>
          <w:sz w:val="32"/>
          <w:szCs w:val="32"/>
        </w:rPr>
        <w:t>条</w:t>
      </w:r>
      <w:r>
        <w:rPr>
          <w:rFonts w:hint="eastAsia" w:ascii="仿宋" w:hAnsi="仿宋" w:eastAsia="仿宋" w:cs="仿宋"/>
          <w:sz w:val="32"/>
          <w:szCs w:val="32"/>
        </w:rPr>
        <w:t xml:space="preserve"> 在交易过程中，出现下列异常情形之一的，交易 所可以宣布进入异常情形，并有权直接采取或宣布进入异常情形后采取紧急措施化解风险：</w:t>
      </w:r>
    </w:p>
    <w:p w14:paraId="6A460DE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因地震、水灾、火灾、战争、罢工等不可抗力事件或者计算机系统故障等不可归责于交易所或交易所不能控制的原因导致报价中断或异常、交易无法正常进行；</w:t>
      </w:r>
    </w:p>
    <w:p w14:paraId="2A77001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市场参与企业出现交易、核算、交收危机，对市场正在产生或者将产生重大影响；</w:t>
      </w:r>
    </w:p>
    <w:p w14:paraId="2E1FAA1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本制度第八章规定的异常情形或交易所规定的其他情形。出现以上所列各项异常情形时，交易所有权将相关交易认定为 无效交易并可以决定采取调整开市收市时间、调整产品交易时间、暂停交易、调整手续费、调整履约订金标准、调整订单或合同持有限额、限期了结、强行了结、账户冻结、限制出入金、调整交易权限、冻结资金、冻结账户、限制交收、账户清退等紧急措施。因发生上述异常情形造成的及异常情形下交易所因异常情形采取相应措施造成的损失，交易所不承担责任。市场参与企业由于异常情形产生的无效交易而发生的资金变动，交易所有权在认定完成后予以追回。</w:t>
      </w:r>
    </w:p>
    <w:p w14:paraId="7D58FC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二十九</w:t>
      </w:r>
      <w:r>
        <w:rPr>
          <w:rFonts w:hint="eastAsia" w:ascii="楷体" w:hAnsi="楷体" w:eastAsia="楷体" w:cs="楷体"/>
          <w:b/>
          <w:bCs/>
          <w:sz w:val="32"/>
          <w:szCs w:val="32"/>
        </w:rPr>
        <w:t>条</w:t>
      </w:r>
      <w:r>
        <w:rPr>
          <w:rFonts w:hint="eastAsia" w:ascii="仿宋" w:hAnsi="仿宋" w:eastAsia="仿宋" w:cs="仿宋"/>
          <w:sz w:val="32"/>
          <w:szCs w:val="32"/>
        </w:rPr>
        <w:t xml:space="preserve"> 相关市场参与企业存在或疑似存在违反交易所相关规定的行为或异常情形，并且对市场正在产生或者将可能产生重大影响，交易所为防止违规行为后果进一步扩大，可以根据情况对该市场参与企业采取下列一项或多项临时处置措施：</w:t>
      </w:r>
    </w:p>
    <w:p w14:paraId="07C4D36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禁止登录交易系统；</w:t>
      </w:r>
    </w:p>
    <w:p w14:paraId="4BBE601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限时退出交易系统；</w:t>
      </w:r>
    </w:p>
    <w:p w14:paraId="79057DF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强行退出交易系统；</w:t>
      </w:r>
    </w:p>
    <w:p w14:paraId="6A512F9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限制开户；</w:t>
      </w:r>
    </w:p>
    <w:p w14:paraId="56AA3C8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限制入金；</w:t>
      </w:r>
    </w:p>
    <w:p w14:paraId="0D699D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限制出金；</w:t>
      </w:r>
    </w:p>
    <w:p w14:paraId="72F7248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冻结账户资金；</w:t>
      </w:r>
    </w:p>
    <w:p w14:paraId="2FA16C4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冻结账户；</w:t>
      </w:r>
    </w:p>
    <w:p w14:paraId="550336E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限制交易；</w:t>
      </w:r>
    </w:p>
    <w:p w14:paraId="22A08E6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调整履约订金标准；</w:t>
      </w:r>
    </w:p>
    <w:p w14:paraId="13529E8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调整订单或合同持有限额；</w:t>
      </w:r>
    </w:p>
    <w:p w14:paraId="712DA9F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调整交易交收权限；</w:t>
      </w:r>
    </w:p>
    <w:p w14:paraId="6E9A641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限期了结；</w:t>
      </w:r>
    </w:p>
    <w:p w14:paraId="15AD83D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强行了结；</w:t>
      </w:r>
    </w:p>
    <w:p w14:paraId="74A9E3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认定交易无效；</w:t>
      </w:r>
    </w:p>
    <w:p w14:paraId="41512E4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取消已经发生的无效交易；</w:t>
      </w:r>
    </w:p>
    <w:p w14:paraId="68C513D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限制交收；</w:t>
      </w:r>
    </w:p>
    <w:p w14:paraId="41D94D6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暂停或终止交收流程；</w:t>
      </w:r>
    </w:p>
    <w:p w14:paraId="58E2481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调整或追索无效交易而发生的盈亏或资金变动；</w:t>
      </w:r>
    </w:p>
    <w:p w14:paraId="4925268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交易所认为必要的其他措施。</w:t>
      </w:r>
    </w:p>
    <w:p w14:paraId="099E9C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5EA4E8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21" w:name="_Toc14717"/>
      <w:r>
        <w:rPr>
          <w:rFonts w:hint="eastAsia" w:ascii="黑体" w:hAnsi="黑体" w:eastAsia="黑体" w:cs="黑体"/>
          <w:sz w:val="32"/>
          <w:szCs w:val="32"/>
        </w:rPr>
        <w:t>附则</w:t>
      </w:r>
      <w:bookmarkEnd w:id="21"/>
    </w:p>
    <w:p w14:paraId="4E8A5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3395B8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第三十条</w:t>
      </w:r>
      <w:r>
        <w:rPr>
          <w:rFonts w:hint="eastAsia" w:ascii="仿宋" w:hAnsi="仿宋" w:eastAsia="仿宋" w:cs="仿宋"/>
          <w:sz w:val="32"/>
          <w:szCs w:val="32"/>
          <w:lang w:val="en-US" w:eastAsia="zh-CN"/>
        </w:rPr>
        <w:t xml:space="preserve"> 本规则由天津国际电子商品交易有限公司制定、修订并解释。</w:t>
      </w:r>
    </w:p>
    <w:p w14:paraId="66D245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第三十一条</w:t>
      </w:r>
      <w:r>
        <w:rPr>
          <w:rFonts w:hint="eastAsia" w:ascii="仿宋" w:hAnsi="仿宋" w:eastAsia="仿宋" w:cs="仿宋"/>
          <w:sz w:val="32"/>
          <w:szCs w:val="32"/>
          <w:lang w:val="en-US" w:eastAsia="zh-CN"/>
        </w:rPr>
        <w:t xml:space="preserve"> 交易所有权根据本规则制定相应的业务指引及流程。</w:t>
      </w:r>
    </w:p>
    <w:p w14:paraId="4C908B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第三十二条</w:t>
      </w:r>
      <w:r>
        <w:rPr>
          <w:rFonts w:hint="eastAsia" w:ascii="仿宋" w:hAnsi="仿宋" w:eastAsia="仿宋" w:cs="仿宋"/>
          <w:sz w:val="32"/>
          <w:szCs w:val="32"/>
          <w:lang w:val="en-US" w:eastAsia="zh-CN"/>
        </w:rPr>
        <w:t xml:space="preserve"> 本规则自颁布之日起施行。</w:t>
      </w:r>
    </w:p>
    <w:p w14:paraId="433E29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47E64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sectPr>
      <w:pgSz w:w="11905" w:h="16838"/>
      <w:pgMar w:top="2098" w:right="1474" w:bottom="1984" w:left="1587"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AA4C">
    <w:pPr>
      <w:widowControl/>
      <w:kinsoku w:val="0"/>
      <w:autoSpaceDE w:val="0"/>
      <w:autoSpaceDN w:val="0"/>
      <w:adjustRightInd w:val="0"/>
      <w:snapToGrid w:val="0"/>
      <w:spacing w:line="178" w:lineRule="auto"/>
      <w:ind w:left="4722"/>
      <w:jc w:val="left"/>
      <w:textAlignment w:val="baseline"/>
      <w:rPr>
        <w:rFonts w:ascii="Times New Roman" w:hAnsi="Times New Roman" w:eastAsia="Times New Roman" w:cs="Times New Roman"/>
        <w:snapToGrid w:val="0"/>
        <w:color w:val="000000"/>
        <w:kern w:val="0"/>
        <w:sz w:val="22"/>
        <w:szCs w:val="22"/>
        <w:lang w:eastAsia="en-US"/>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BE2E5">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3BE2E5">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DB32E"/>
    <w:multiLevelType w:val="singleLevel"/>
    <w:tmpl w:val="B01DB32E"/>
    <w:lvl w:ilvl="0" w:tentative="0">
      <w:start w:val="7"/>
      <w:numFmt w:val="chineseCounting"/>
      <w:suff w:val="space"/>
      <w:lvlText w:val="第%1章"/>
      <w:lvlJc w:val="left"/>
      <w:rPr>
        <w:rFonts w:hint="eastAsia"/>
      </w:rPr>
    </w:lvl>
  </w:abstractNum>
  <w:abstractNum w:abstractNumId="1">
    <w:nsid w:val="B4E66306"/>
    <w:multiLevelType w:val="singleLevel"/>
    <w:tmpl w:val="B4E66306"/>
    <w:lvl w:ilvl="0" w:tentative="0">
      <w:start w:val="1"/>
      <w:numFmt w:val="decimal"/>
      <w:suff w:val="space"/>
      <w:lvlText w:val="%1."/>
      <w:lvlJc w:val="left"/>
    </w:lvl>
  </w:abstractNum>
  <w:abstractNum w:abstractNumId="2">
    <w:nsid w:val="CA0372FF"/>
    <w:multiLevelType w:val="singleLevel"/>
    <w:tmpl w:val="CA0372FF"/>
    <w:lvl w:ilvl="0" w:tentative="0">
      <w:start w:val="1"/>
      <w:numFmt w:val="decimal"/>
      <w:suff w:val="space"/>
      <w:lvlText w:val="%1."/>
      <w:lvlJc w:val="left"/>
    </w:lvl>
  </w:abstractNum>
  <w:abstractNum w:abstractNumId="3">
    <w:nsid w:val="EB3BF02B"/>
    <w:multiLevelType w:val="singleLevel"/>
    <w:tmpl w:val="EB3BF02B"/>
    <w:lvl w:ilvl="0" w:tentative="0">
      <w:start w:val="1"/>
      <w:numFmt w:val="decimal"/>
      <w:suff w:val="space"/>
      <w:lvlText w:val="%1."/>
      <w:lvlJc w:val="left"/>
    </w:lvl>
  </w:abstractNum>
  <w:abstractNum w:abstractNumId="4">
    <w:nsid w:val="369796CD"/>
    <w:multiLevelType w:val="singleLevel"/>
    <w:tmpl w:val="369796CD"/>
    <w:lvl w:ilvl="0" w:tentative="0">
      <w:start w:val="1"/>
      <w:numFmt w:val="decimal"/>
      <w:suff w:val="space"/>
      <w:lvlText w:val="%1."/>
      <w:lvlJc w:val="left"/>
    </w:lvl>
  </w:abstractNum>
  <w:abstractNum w:abstractNumId="5">
    <w:nsid w:val="52F755E7"/>
    <w:multiLevelType w:val="singleLevel"/>
    <w:tmpl w:val="52F755E7"/>
    <w:lvl w:ilvl="0" w:tentative="0">
      <w:start w:val="1"/>
      <w:numFmt w:val="decimal"/>
      <w:suff w:val="space"/>
      <w:lvlText w:val="%1."/>
      <w:lvlJc w:val="left"/>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trackRevisions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00000000"/>
    <w:rsid w:val="03B86879"/>
    <w:rsid w:val="06E710CA"/>
    <w:rsid w:val="09AA7856"/>
    <w:rsid w:val="0C0F0EA7"/>
    <w:rsid w:val="0E8D4AC8"/>
    <w:rsid w:val="16610439"/>
    <w:rsid w:val="1A9E5A69"/>
    <w:rsid w:val="1CF3211F"/>
    <w:rsid w:val="1FBB0266"/>
    <w:rsid w:val="25AE3087"/>
    <w:rsid w:val="28920A3E"/>
    <w:rsid w:val="2B3202B6"/>
    <w:rsid w:val="33B54851"/>
    <w:rsid w:val="366963C1"/>
    <w:rsid w:val="3E9A01F4"/>
    <w:rsid w:val="44E81CBA"/>
    <w:rsid w:val="4B661B8A"/>
    <w:rsid w:val="53542C10"/>
    <w:rsid w:val="60455DBA"/>
    <w:rsid w:val="668D4017"/>
    <w:rsid w:val="73A724AC"/>
    <w:rsid w:val="766347E6"/>
    <w:rsid w:val="77173662"/>
    <w:rsid w:val="77D421F3"/>
    <w:rsid w:val="77E5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WPSOffice手动目录 1"/>
    <w:qFormat/>
    <w:uiPriority w:val="0"/>
    <w:pPr>
      <w:ind w:leftChars="0"/>
    </w:pPr>
    <w:rPr>
      <w:rFonts w:asciiTheme="minorHAnsi" w:hAnsiTheme="minorHAnsi" w:eastAsiaTheme="minorEastAsia" w:cstheme="minorBidi"/>
      <w:sz w:val="20"/>
      <w:szCs w:val="20"/>
    </w:rPr>
  </w:style>
  <w:style w:type="paragraph" w:customStyle="1" w:styleId="6">
    <w:name w:val="WPSOffice手动目录 2"/>
    <w:qFormat/>
    <w:uiPriority w:val="0"/>
    <w:pPr>
      <w:ind w:leftChars="200"/>
    </w:pPr>
    <w:rPr>
      <w:rFonts w:asciiTheme="minorHAnsi" w:hAnsiTheme="minorHAnsi" w:eastAsiaTheme="minorEastAsia" w:cstheme="minorBidi"/>
      <w:sz w:val="20"/>
      <w:szCs w:val="20"/>
    </w:rPr>
  </w:style>
  <w:style w:type="paragraph" w:customStyle="1" w:styleId="7">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4685</Words>
  <Characters>4763</Characters>
  <Lines>0</Lines>
  <Paragraphs>0</Paragraphs>
  <TotalTime>22</TotalTime>
  <ScaleCrop>false</ScaleCrop>
  <LinksUpToDate>false</LinksUpToDate>
  <CharactersWithSpaces>4884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2024-06-18T14:11:00Z</dcterms:created>
  <dc:creator>HP</dc:creator>
  <cp:lastModifiedBy>天交所</cp:lastModifiedBy>
  <dcterms:modified xsi:type="dcterms:W3CDTF">2026-04-10T06:36:15Z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F1AFA245D03043A89C48A7F33C9A42B2_12</vt:lpwstr>
  </property>
  <property fmtid="{D5CDD505-2E9C-101B-9397-08002B2CF9AE}" pid="4" name="KSOTemplateDocerSaveRecord">
    <vt:lpwstr>eyJoZGlkIjoiNzlkN2FiOThlZDNjZTg0MDY3NzIzMzRlNTg5NDY0ZmUiLCJ1c2VySWQiOiIxNjUyMDQxNDk1In0=</vt:lpwstr>
  </property>
</Properties>
</file>